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附件：3</w:t>
      </w:r>
    </w:p>
    <w:p>
      <w:pPr>
        <w:jc w:val="center"/>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创新创业学院《大学生就业创业指导》课程介绍</w:t>
      </w:r>
    </w:p>
    <w:p>
      <w:pPr>
        <w:spacing w:line="500" w:lineRule="exact"/>
        <w:ind w:firstLine="562" w:firstLineChars="200"/>
        <w:rPr>
          <w:rFonts w:ascii="黑体" w:hAnsi="黑体" w:eastAsia="黑体" w:cs="宋体"/>
          <w:b/>
          <w:color w:val="666666"/>
          <w:kern w:val="0"/>
          <w:sz w:val="28"/>
          <w:szCs w:val="28"/>
        </w:rPr>
      </w:pPr>
      <w:r>
        <w:rPr>
          <w:rFonts w:ascii="黑体" w:hAnsi="黑体" w:eastAsia="黑体" w:cs="宋体"/>
          <w:b/>
          <w:color w:val="666666"/>
          <w:kern w:val="0"/>
          <w:sz w:val="28"/>
          <w:szCs w:val="28"/>
        </w:rPr>
        <w:t>一</w:t>
      </w:r>
      <w:r>
        <w:rPr>
          <w:rFonts w:hint="eastAsia" w:ascii="黑体" w:hAnsi="黑体" w:eastAsia="黑体" w:cs="宋体"/>
          <w:b/>
          <w:color w:val="666666"/>
          <w:kern w:val="0"/>
          <w:sz w:val="28"/>
          <w:szCs w:val="28"/>
        </w:rPr>
        <w:t>、课程性质</w:t>
      </w:r>
    </w:p>
    <w:p>
      <w:pPr>
        <w:spacing w:line="500" w:lineRule="exact"/>
        <w:ind w:firstLine="560" w:firstLineChars="200"/>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《大学生就业创业指导》</w:t>
      </w:r>
      <w:r>
        <w:rPr>
          <w:rFonts w:hint="eastAsia" w:ascii="仿宋_GB2312" w:hAnsi="Verdana" w:eastAsia="仿宋_GB2312" w:cs="宋体"/>
          <w:color w:val="666666"/>
          <w:kern w:val="0"/>
          <w:sz w:val="28"/>
          <w:szCs w:val="28"/>
          <w:lang w:eastAsia="zh-CN"/>
        </w:rPr>
        <w:t>课程</w:t>
      </w:r>
      <w:r>
        <w:rPr>
          <w:rFonts w:hint="eastAsia" w:ascii="仿宋_GB2312" w:hAnsi="Verdana" w:eastAsia="仿宋_GB2312" w:cs="宋体"/>
          <w:color w:val="666666"/>
          <w:kern w:val="0"/>
          <w:sz w:val="28"/>
          <w:szCs w:val="28"/>
        </w:rPr>
        <w:t>为我校素质教育课，按照教育部的要求该课程课将作为必修课列入</w:t>
      </w:r>
      <w:r>
        <w:rPr>
          <w:rFonts w:hint="eastAsia" w:ascii="仿宋_GB2312" w:hAnsi="Verdana" w:eastAsia="仿宋_GB2312" w:cs="宋体"/>
          <w:color w:val="666666"/>
          <w:kern w:val="0"/>
          <w:sz w:val="28"/>
          <w:szCs w:val="28"/>
          <w:lang w:eastAsia="zh-CN"/>
        </w:rPr>
        <w:t>学校</w:t>
      </w:r>
      <w:r>
        <w:rPr>
          <w:rFonts w:hint="eastAsia" w:ascii="仿宋_GB2312" w:hAnsi="Verdana" w:eastAsia="仿宋_GB2312" w:cs="宋体"/>
          <w:color w:val="666666"/>
          <w:kern w:val="0"/>
          <w:sz w:val="28"/>
          <w:szCs w:val="28"/>
        </w:rPr>
        <w:t>人才培养方案和教学计划。课程既强调职业在人生发展中的重要地位，又关注学生的全面发展和终身发展，贯穿大学教育全过程。通过激发大学生职业生涯发展的自主意识，树立正确的就业观、择业观、创业观，促使大学生理性地规划自身未来的发展，并在学习过程中自觉地提高生涯管理能力、创新创业能力和求职择业能力。</w:t>
      </w:r>
    </w:p>
    <w:p>
      <w:pPr>
        <w:spacing w:line="500" w:lineRule="exact"/>
        <w:ind w:firstLine="562" w:firstLineChars="200"/>
        <w:rPr>
          <w:rFonts w:ascii="黑体" w:hAnsi="黑体" w:eastAsia="黑体" w:cs="宋体"/>
          <w:b/>
          <w:color w:val="666666"/>
          <w:kern w:val="0"/>
          <w:sz w:val="28"/>
          <w:szCs w:val="28"/>
        </w:rPr>
      </w:pPr>
      <w:r>
        <w:rPr>
          <w:rFonts w:hint="eastAsia" w:ascii="黑体" w:hAnsi="黑体" w:eastAsia="黑体" w:cs="宋体"/>
          <w:b/>
          <w:color w:val="666666"/>
          <w:kern w:val="0"/>
          <w:sz w:val="28"/>
          <w:szCs w:val="28"/>
        </w:rPr>
        <w:t>二、课程目标</w:t>
      </w:r>
    </w:p>
    <w:p>
      <w:pPr>
        <w:spacing w:line="500" w:lineRule="exact"/>
        <w:ind w:firstLine="560" w:firstLineChars="200"/>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通过课程教学，大学生应当在态度、知识和技能三个层面均达到以下目标。</w:t>
      </w:r>
    </w:p>
    <w:p>
      <w:pPr>
        <w:spacing w:line="500" w:lineRule="exact"/>
        <w:ind w:firstLine="560" w:firstLineChars="200"/>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态度层面：通过本课程的教学，大学生应当树立起职业生涯发展的自主意识，树立积极正确的人生观、价值观和职业观念，把个人发展和国家需要、社会发展相结合，确立职业的概念和意识，愿意为个人的生涯发展和社会发展主动付出积极的努力。</w:t>
      </w:r>
    </w:p>
    <w:p>
      <w:pPr>
        <w:spacing w:line="500" w:lineRule="exact"/>
        <w:ind w:firstLine="560" w:firstLineChars="200"/>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知识层面：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500" w:lineRule="exact"/>
        <w:ind w:firstLine="560" w:firstLineChars="200"/>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 xml:space="preserve">技能层面：通过本课程的教学，大学生应当掌握自我探索技能、信息搜索与管理技能、生涯决策技能、求职技能等，还应该通过课程提高学生的各种通用技能，比如沟通技能、问题解决技能、自我管理技能和人际交往技能等。 </w:t>
      </w:r>
    </w:p>
    <w:p>
      <w:pPr>
        <w:spacing w:line="500" w:lineRule="exact"/>
        <w:ind w:firstLine="562" w:firstLineChars="200"/>
        <w:rPr>
          <w:rFonts w:ascii="黑体" w:hAnsi="黑体" w:eastAsia="黑体" w:cs="宋体"/>
          <w:b/>
          <w:color w:val="666666"/>
          <w:kern w:val="0"/>
          <w:sz w:val="28"/>
          <w:szCs w:val="28"/>
        </w:rPr>
      </w:pPr>
      <w:r>
        <w:rPr>
          <w:rFonts w:hint="eastAsia" w:ascii="黑体" w:hAnsi="黑体" w:eastAsia="黑体" w:cs="宋体"/>
          <w:b/>
          <w:color w:val="666666"/>
          <w:kern w:val="0"/>
          <w:sz w:val="28"/>
          <w:szCs w:val="28"/>
        </w:rPr>
        <w:t>三、课程结构</w:t>
      </w:r>
    </w:p>
    <w:p>
      <w:pPr>
        <w:spacing w:line="500" w:lineRule="exact"/>
        <w:ind w:firstLine="560" w:firstLineChars="200"/>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根据学校应用技术大学人才培养定位，结合课程性质和教学实际</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本课程作为通识基础必修课共计</w:t>
      </w:r>
      <w:r>
        <w:rPr>
          <w:rFonts w:hint="eastAsia" w:ascii="仿宋_GB2312" w:hAnsi="Verdana" w:eastAsia="仿宋_GB2312" w:cs="宋体"/>
          <w:color w:val="666666"/>
          <w:kern w:val="0"/>
          <w:sz w:val="28"/>
          <w:szCs w:val="28"/>
          <w:lang w:val="en-US" w:eastAsia="zh-CN"/>
        </w:rPr>
        <w:t>74学时，</w:t>
      </w:r>
      <w:r>
        <w:rPr>
          <w:rFonts w:hint="eastAsia" w:ascii="仿宋_GB2312" w:hAnsi="Verdana" w:eastAsia="仿宋_GB2312" w:cs="宋体"/>
          <w:color w:val="666666"/>
          <w:kern w:val="0"/>
          <w:sz w:val="28"/>
          <w:szCs w:val="28"/>
        </w:rPr>
        <w:t>4学分，具体课程名称、学分、学时、开课学期如下表：</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41"/>
        <w:gridCol w:w="3392"/>
        <w:gridCol w:w="708"/>
        <w:gridCol w:w="709"/>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95" w:type="dxa"/>
            <w:vAlign w:val="center"/>
          </w:tcPr>
          <w:p>
            <w:pPr>
              <w:jc w:val="center"/>
              <w:rPr>
                <w:rFonts w:ascii="黑体" w:hAnsi="黑体" w:eastAsia="黑体"/>
                <w:color w:val="000000"/>
                <w:szCs w:val="21"/>
              </w:rPr>
            </w:pPr>
            <w:r>
              <w:rPr>
                <w:rFonts w:hint="eastAsia" w:ascii="黑体" w:hAnsi="黑体" w:eastAsia="黑体"/>
                <w:color w:val="000000"/>
                <w:szCs w:val="21"/>
              </w:rPr>
              <w:t>课程类别</w:t>
            </w:r>
          </w:p>
        </w:tc>
        <w:tc>
          <w:tcPr>
            <w:tcW w:w="741" w:type="dxa"/>
            <w:vAlign w:val="center"/>
          </w:tcPr>
          <w:p>
            <w:pPr>
              <w:jc w:val="center"/>
              <w:rPr>
                <w:rFonts w:ascii="黑体" w:hAnsi="黑体" w:eastAsia="黑体"/>
                <w:color w:val="000000"/>
                <w:szCs w:val="21"/>
              </w:rPr>
            </w:pPr>
            <w:r>
              <w:rPr>
                <w:rFonts w:hint="eastAsia" w:ascii="黑体" w:hAnsi="黑体" w:eastAsia="黑体"/>
                <w:color w:val="000000"/>
                <w:szCs w:val="21"/>
              </w:rPr>
              <w:t>课程性质</w:t>
            </w:r>
          </w:p>
        </w:tc>
        <w:tc>
          <w:tcPr>
            <w:tcW w:w="3392" w:type="dxa"/>
            <w:vAlign w:val="center"/>
          </w:tcPr>
          <w:p>
            <w:pPr>
              <w:jc w:val="center"/>
              <w:rPr>
                <w:rFonts w:ascii="黑体" w:hAnsi="黑体" w:eastAsia="黑体"/>
                <w:color w:val="000000"/>
                <w:szCs w:val="21"/>
              </w:rPr>
            </w:pPr>
            <w:r>
              <w:rPr>
                <w:rFonts w:hint="eastAsia" w:ascii="黑体" w:hAnsi="黑体" w:eastAsia="黑体"/>
                <w:color w:val="000000"/>
                <w:szCs w:val="21"/>
              </w:rPr>
              <w:t>课程名称</w:t>
            </w:r>
          </w:p>
        </w:tc>
        <w:tc>
          <w:tcPr>
            <w:tcW w:w="708" w:type="dxa"/>
            <w:vAlign w:val="center"/>
          </w:tcPr>
          <w:p>
            <w:pPr>
              <w:jc w:val="center"/>
              <w:rPr>
                <w:rFonts w:ascii="黑体" w:hAnsi="黑体" w:eastAsia="黑体"/>
                <w:color w:val="000000"/>
                <w:szCs w:val="21"/>
              </w:rPr>
            </w:pPr>
            <w:r>
              <w:rPr>
                <w:rFonts w:hint="eastAsia" w:ascii="黑体" w:hAnsi="黑体" w:eastAsia="黑体"/>
                <w:color w:val="000000"/>
                <w:szCs w:val="21"/>
              </w:rPr>
              <w:t>学分</w:t>
            </w:r>
          </w:p>
        </w:tc>
        <w:tc>
          <w:tcPr>
            <w:tcW w:w="709" w:type="dxa"/>
            <w:vAlign w:val="center"/>
          </w:tcPr>
          <w:p>
            <w:pPr>
              <w:jc w:val="center"/>
              <w:rPr>
                <w:rFonts w:ascii="黑体" w:hAnsi="黑体" w:eastAsia="黑体"/>
                <w:color w:val="000000"/>
                <w:szCs w:val="21"/>
              </w:rPr>
            </w:pPr>
            <w:r>
              <w:rPr>
                <w:rFonts w:hint="eastAsia" w:ascii="黑体" w:hAnsi="黑体" w:eastAsia="黑体"/>
                <w:color w:val="000000"/>
                <w:szCs w:val="21"/>
              </w:rPr>
              <w:t>学时</w:t>
            </w:r>
          </w:p>
        </w:tc>
        <w:tc>
          <w:tcPr>
            <w:tcW w:w="709" w:type="dxa"/>
            <w:vAlign w:val="center"/>
          </w:tcPr>
          <w:p>
            <w:pPr>
              <w:jc w:val="center"/>
              <w:rPr>
                <w:rFonts w:ascii="黑体" w:hAnsi="黑体" w:eastAsia="黑体"/>
                <w:color w:val="000000"/>
                <w:szCs w:val="21"/>
              </w:rPr>
            </w:pPr>
            <w:r>
              <w:rPr>
                <w:rFonts w:hint="eastAsia" w:ascii="黑体" w:hAnsi="黑体" w:eastAsia="黑体"/>
                <w:color w:val="000000"/>
                <w:szCs w:val="21"/>
              </w:rPr>
              <w:t>开课学期</w:t>
            </w:r>
          </w:p>
        </w:tc>
        <w:tc>
          <w:tcPr>
            <w:tcW w:w="1559" w:type="dxa"/>
            <w:vAlign w:val="center"/>
          </w:tcPr>
          <w:p>
            <w:pPr>
              <w:jc w:val="center"/>
              <w:rPr>
                <w:rFonts w:ascii="黑体" w:hAnsi="黑体" w:eastAsia="黑体"/>
                <w:color w:val="000000"/>
                <w:szCs w:val="21"/>
              </w:rPr>
            </w:pPr>
            <w:r>
              <w:rPr>
                <w:rFonts w:hint="eastAsia" w:ascii="黑体" w:hAnsi="黑体" w:eastAsia="黑体"/>
                <w:color w:val="000000"/>
                <w:szCs w:val="21"/>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795" w:type="dxa"/>
            <w:vMerge w:val="restart"/>
            <w:vAlign w:val="center"/>
          </w:tcPr>
          <w:p>
            <w:pPr>
              <w:jc w:val="center"/>
              <w:rPr>
                <w:rFonts w:ascii="黑体" w:hAnsi="黑体" w:eastAsia="黑体"/>
                <w:color w:val="000000"/>
                <w:szCs w:val="21"/>
              </w:rPr>
            </w:pPr>
            <w:r>
              <w:rPr>
                <w:rFonts w:hint="eastAsia" w:ascii="黑体" w:hAnsi="黑体" w:eastAsia="黑体"/>
                <w:color w:val="000000"/>
                <w:szCs w:val="21"/>
              </w:rPr>
              <w:t>通</w:t>
            </w:r>
          </w:p>
          <w:p>
            <w:pPr>
              <w:jc w:val="center"/>
              <w:rPr>
                <w:rFonts w:ascii="黑体" w:hAnsi="黑体" w:eastAsia="黑体"/>
                <w:color w:val="000000"/>
                <w:szCs w:val="21"/>
              </w:rPr>
            </w:pPr>
            <w:r>
              <w:rPr>
                <w:rFonts w:hint="eastAsia" w:ascii="黑体" w:hAnsi="黑体" w:eastAsia="黑体"/>
                <w:color w:val="000000"/>
                <w:szCs w:val="21"/>
              </w:rPr>
              <w:t>识</w:t>
            </w:r>
          </w:p>
          <w:p>
            <w:pPr>
              <w:jc w:val="center"/>
              <w:rPr>
                <w:rFonts w:ascii="黑体" w:hAnsi="黑体" w:eastAsia="黑体"/>
                <w:color w:val="000000"/>
                <w:szCs w:val="21"/>
              </w:rPr>
            </w:pPr>
            <w:r>
              <w:rPr>
                <w:rFonts w:hint="eastAsia" w:ascii="黑体" w:hAnsi="黑体" w:eastAsia="黑体"/>
                <w:color w:val="000000"/>
                <w:szCs w:val="21"/>
              </w:rPr>
              <w:t>基</w:t>
            </w:r>
          </w:p>
          <w:p>
            <w:pPr>
              <w:jc w:val="center"/>
              <w:rPr>
                <w:rFonts w:ascii="黑体" w:hAnsi="黑体" w:eastAsia="黑体"/>
                <w:color w:val="000000"/>
                <w:szCs w:val="21"/>
              </w:rPr>
            </w:pPr>
            <w:r>
              <w:rPr>
                <w:rFonts w:hint="eastAsia" w:ascii="黑体" w:hAnsi="黑体" w:eastAsia="黑体"/>
                <w:color w:val="000000"/>
                <w:szCs w:val="21"/>
              </w:rPr>
              <w:t>础</w:t>
            </w:r>
          </w:p>
        </w:tc>
        <w:tc>
          <w:tcPr>
            <w:tcW w:w="741" w:type="dxa"/>
            <w:vMerge w:val="restart"/>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必修</w:t>
            </w:r>
          </w:p>
        </w:tc>
        <w:tc>
          <w:tcPr>
            <w:tcW w:w="3392" w:type="dxa"/>
            <w:vAlign w:val="center"/>
          </w:tcPr>
          <w:p>
            <w:pPr>
              <w:jc w:val="center"/>
              <w:rPr>
                <w:rFonts w:ascii="黑体" w:hAnsi="黑体" w:eastAsia="黑体"/>
                <w:color w:val="000000"/>
                <w:szCs w:val="21"/>
              </w:rPr>
            </w:pPr>
            <w:r>
              <w:rPr>
                <w:rFonts w:hint="eastAsia" w:ascii="黑体" w:hAnsi="黑体" w:eastAsia="黑体"/>
                <w:color w:val="000000"/>
                <w:szCs w:val="21"/>
              </w:rPr>
              <w:t>大学生职业发展与就业指导（一）</w:t>
            </w:r>
          </w:p>
        </w:tc>
        <w:tc>
          <w:tcPr>
            <w:tcW w:w="708" w:type="dxa"/>
            <w:vAlign w:val="center"/>
          </w:tcPr>
          <w:p>
            <w:pPr>
              <w:jc w:val="center"/>
              <w:rPr>
                <w:rFonts w:ascii="黑体" w:hAnsi="黑体" w:eastAsia="黑体"/>
                <w:color w:val="000000"/>
                <w:szCs w:val="21"/>
              </w:rPr>
            </w:pPr>
            <w:r>
              <w:rPr>
                <w:rFonts w:hint="eastAsia" w:ascii="黑体" w:hAnsi="黑体" w:eastAsia="黑体"/>
                <w:color w:val="000000"/>
                <w:szCs w:val="21"/>
              </w:rPr>
              <w:t>1</w:t>
            </w:r>
          </w:p>
        </w:tc>
        <w:tc>
          <w:tcPr>
            <w:tcW w:w="709" w:type="dxa"/>
            <w:vAlign w:val="center"/>
          </w:tcPr>
          <w:p>
            <w:pPr>
              <w:jc w:val="center"/>
              <w:rPr>
                <w:rFonts w:ascii="黑体" w:hAnsi="黑体" w:eastAsia="黑体"/>
                <w:color w:val="000000"/>
                <w:szCs w:val="21"/>
              </w:rPr>
            </w:pPr>
            <w:r>
              <w:rPr>
                <w:rFonts w:hint="eastAsia" w:ascii="黑体" w:hAnsi="黑体" w:eastAsia="黑体"/>
                <w:color w:val="000000"/>
                <w:szCs w:val="21"/>
              </w:rPr>
              <w:t>1</w:t>
            </w:r>
            <w:r>
              <w:rPr>
                <w:rFonts w:hint="eastAsia" w:ascii="黑体" w:hAnsi="黑体" w:eastAsia="黑体"/>
                <w:color w:val="000000"/>
                <w:szCs w:val="21"/>
                <w:lang w:val="en-US" w:eastAsia="zh-CN"/>
              </w:rPr>
              <w:t>8</w:t>
            </w:r>
          </w:p>
        </w:tc>
        <w:tc>
          <w:tcPr>
            <w:tcW w:w="709" w:type="dxa"/>
            <w:vAlign w:val="center"/>
          </w:tcPr>
          <w:p>
            <w:pPr>
              <w:jc w:val="center"/>
              <w:rPr>
                <w:rFonts w:ascii="黑体" w:hAnsi="黑体" w:eastAsia="黑体"/>
                <w:color w:val="000000"/>
                <w:szCs w:val="21"/>
              </w:rPr>
            </w:pPr>
            <w:r>
              <w:rPr>
                <w:rFonts w:hint="eastAsia" w:ascii="黑体" w:hAnsi="黑体" w:eastAsia="黑体"/>
                <w:color w:val="000000"/>
                <w:szCs w:val="21"/>
              </w:rPr>
              <w:t>1</w:t>
            </w:r>
          </w:p>
        </w:tc>
        <w:tc>
          <w:tcPr>
            <w:tcW w:w="1559" w:type="dxa"/>
            <w:vMerge w:val="restart"/>
            <w:vAlign w:val="center"/>
          </w:tcPr>
          <w:p>
            <w:pPr>
              <w:jc w:val="center"/>
              <w:rPr>
                <w:rFonts w:ascii="黑体" w:hAnsi="黑体" w:eastAsia="黑体"/>
                <w:color w:val="000000"/>
                <w:szCs w:val="21"/>
              </w:rPr>
            </w:pPr>
            <w:r>
              <w:rPr>
                <w:rFonts w:hint="eastAsia" w:ascii="黑体" w:hAnsi="黑体" w:eastAsia="黑体"/>
                <w:color w:val="000000"/>
                <w:szCs w:val="21"/>
              </w:rPr>
              <w:t>创新创业学院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795" w:type="dxa"/>
            <w:vMerge w:val="continue"/>
          </w:tcPr>
          <w:p>
            <w:pPr>
              <w:rPr>
                <w:rFonts w:ascii="黑体" w:hAnsi="黑体" w:eastAsia="黑体"/>
                <w:color w:val="000000"/>
                <w:szCs w:val="21"/>
              </w:rPr>
            </w:pPr>
          </w:p>
        </w:tc>
        <w:tc>
          <w:tcPr>
            <w:tcW w:w="741" w:type="dxa"/>
            <w:vMerge w:val="continue"/>
            <w:vAlign w:val="center"/>
          </w:tcPr>
          <w:p>
            <w:pPr>
              <w:jc w:val="center"/>
              <w:rPr>
                <w:rFonts w:ascii="微软雅黑" w:hAnsi="微软雅黑" w:eastAsia="微软雅黑"/>
                <w:color w:val="000000"/>
                <w:szCs w:val="21"/>
              </w:rPr>
            </w:pPr>
          </w:p>
        </w:tc>
        <w:tc>
          <w:tcPr>
            <w:tcW w:w="3392" w:type="dxa"/>
            <w:vAlign w:val="center"/>
          </w:tcPr>
          <w:p>
            <w:pPr>
              <w:jc w:val="center"/>
              <w:rPr>
                <w:rFonts w:ascii="黑体" w:hAnsi="黑体" w:eastAsia="黑体"/>
                <w:color w:val="000000"/>
                <w:szCs w:val="21"/>
              </w:rPr>
            </w:pPr>
            <w:r>
              <w:rPr>
                <w:rFonts w:hint="eastAsia" w:ascii="黑体" w:hAnsi="黑体" w:eastAsia="黑体"/>
                <w:color w:val="000000"/>
                <w:szCs w:val="21"/>
              </w:rPr>
              <w:t>大学生创业基础</w:t>
            </w:r>
          </w:p>
        </w:tc>
        <w:tc>
          <w:tcPr>
            <w:tcW w:w="708" w:type="dxa"/>
            <w:vAlign w:val="center"/>
          </w:tcPr>
          <w:p>
            <w:pPr>
              <w:jc w:val="center"/>
              <w:rPr>
                <w:rFonts w:ascii="黑体" w:hAnsi="黑体" w:eastAsia="黑体"/>
                <w:color w:val="000000"/>
                <w:szCs w:val="21"/>
              </w:rPr>
            </w:pPr>
            <w:r>
              <w:rPr>
                <w:rFonts w:hint="eastAsia" w:ascii="黑体" w:hAnsi="黑体" w:eastAsia="黑体"/>
                <w:color w:val="000000"/>
                <w:szCs w:val="21"/>
              </w:rPr>
              <w:t>2</w:t>
            </w:r>
          </w:p>
        </w:tc>
        <w:tc>
          <w:tcPr>
            <w:tcW w:w="709" w:type="dxa"/>
            <w:vAlign w:val="center"/>
          </w:tcPr>
          <w:p>
            <w:pPr>
              <w:jc w:val="center"/>
              <w:rPr>
                <w:rFonts w:ascii="黑体" w:hAnsi="黑体" w:eastAsia="黑体"/>
                <w:color w:val="000000"/>
                <w:szCs w:val="21"/>
              </w:rPr>
            </w:pPr>
            <w:r>
              <w:rPr>
                <w:rFonts w:hint="eastAsia" w:ascii="黑体" w:hAnsi="黑体" w:eastAsia="黑体"/>
                <w:color w:val="000000"/>
                <w:szCs w:val="21"/>
              </w:rPr>
              <w:t>3</w:t>
            </w:r>
            <w:r>
              <w:rPr>
                <w:rFonts w:hint="eastAsia" w:ascii="黑体" w:hAnsi="黑体" w:eastAsia="黑体"/>
                <w:color w:val="000000"/>
                <w:szCs w:val="21"/>
                <w:lang w:val="en-US" w:eastAsia="zh-CN"/>
              </w:rPr>
              <w:t>6</w:t>
            </w:r>
            <w:bookmarkStart w:id="0" w:name="_GoBack"/>
            <w:bookmarkEnd w:id="0"/>
          </w:p>
        </w:tc>
        <w:tc>
          <w:tcPr>
            <w:tcW w:w="709" w:type="dxa"/>
            <w:vAlign w:val="center"/>
          </w:tcPr>
          <w:p>
            <w:pPr>
              <w:jc w:val="center"/>
              <w:rPr>
                <w:rFonts w:ascii="黑体" w:hAnsi="黑体" w:eastAsia="黑体"/>
                <w:color w:val="000000"/>
                <w:szCs w:val="21"/>
              </w:rPr>
            </w:pPr>
            <w:r>
              <w:rPr>
                <w:rFonts w:hint="eastAsia" w:ascii="黑体" w:hAnsi="黑体" w:eastAsia="黑体"/>
                <w:color w:val="000000"/>
                <w:szCs w:val="21"/>
              </w:rPr>
              <w:t>2</w:t>
            </w:r>
          </w:p>
        </w:tc>
        <w:tc>
          <w:tcPr>
            <w:tcW w:w="1559" w:type="dxa"/>
            <w:vMerge w:val="continue"/>
            <w:vAlign w:val="center"/>
          </w:tcPr>
          <w:p>
            <w:pPr>
              <w:jc w:val="center"/>
              <w:rPr>
                <w:rFonts w:ascii="黑体" w:hAnsi="黑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95" w:type="dxa"/>
            <w:vMerge w:val="continue"/>
          </w:tcPr>
          <w:p>
            <w:pPr>
              <w:rPr>
                <w:rFonts w:ascii="黑体" w:hAnsi="黑体" w:eastAsia="黑体"/>
                <w:color w:val="000000"/>
                <w:szCs w:val="21"/>
              </w:rPr>
            </w:pPr>
          </w:p>
        </w:tc>
        <w:tc>
          <w:tcPr>
            <w:tcW w:w="741" w:type="dxa"/>
            <w:vMerge w:val="continue"/>
            <w:vAlign w:val="center"/>
          </w:tcPr>
          <w:p>
            <w:pPr>
              <w:jc w:val="center"/>
              <w:rPr>
                <w:rFonts w:ascii="微软雅黑" w:hAnsi="微软雅黑" w:eastAsia="微软雅黑"/>
                <w:color w:val="000000"/>
                <w:szCs w:val="21"/>
              </w:rPr>
            </w:pPr>
          </w:p>
        </w:tc>
        <w:tc>
          <w:tcPr>
            <w:tcW w:w="3392" w:type="dxa"/>
            <w:vAlign w:val="center"/>
          </w:tcPr>
          <w:p>
            <w:pPr>
              <w:jc w:val="center"/>
              <w:rPr>
                <w:rFonts w:ascii="黑体" w:hAnsi="黑体" w:eastAsia="黑体"/>
                <w:color w:val="000000"/>
                <w:szCs w:val="21"/>
              </w:rPr>
            </w:pPr>
            <w:r>
              <w:rPr>
                <w:rFonts w:hint="eastAsia" w:ascii="黑体" w:hAnsi="黑体" w:eastAsia="黑体"/>
                <w:color w:val="000000"/>
                <w:szCs w:val="21"/>
              </w:rPr>
              <w:t>大学生职业发展与就业指导（二）</w:t>
            </w:r>
          </w:p>
        </w:tc>
        <w:tc>
          <w:tcPr>
            <w:tcW w:w="708" w:type="dxa"/>
            <w:vAlign w:val="center"/>
          </w:tcPr>
          <w:p>
            <w:pPr>
              <w:jc w:val="center"/>
              <w:rPr>
                <w:rFonts w:ascii="黑体" w:hAnsi="黑体" w:eastAsia="黑体"/>
                <w:color w:val="000000"/>
                <w:szCs w:val="21"/>
              </w:rPr>
            </w:pPr>
            <w:r>
              <w:rPr>
                <w:rFonts w:hint="eastAsia" w:ascii="黑体" w:hAnsi="黑体" w:eastAsia="黑体"/>
                <w:color w:val="000000"/>
                <w:szCs w:val="21"/>
              </w:rPr>
              <w:t>1</w:t>
            </w:r>
          </w:p>
        </w:tc>
        <w:tc>
          <w:tcPr>
            <w:tcW w:w="709" w:type="dxa"/>
            <w:vAlign w:val="center"/>
          </w:tcPr>
          <w:p>
            <w:pPr>
              <w:jc w:val="center"/>
              <w:rPr>
                <w:rFonts w:hint="eastAsia" w:ascii="黑体" w:hAnsi="黑体" w:eastAsia="黑体"/>
                <w:color w:val="000000"/>
                <w:szCs w:val="21"/>
                <w:lang w:val="en-US" w:eastAsia="zh-CN"/>
              </w:rPr>
            </w:pPr>
            <w:r>
              <w:rPr>
                <w:rFonts w:hint="eastAsia" w:ascii="黑体" w:hAnsi="黑体" w:eastAsia="黑体"/>
                <w:color w:val="000000"/>
                <w:szCs w:val="21"/>
                <w:lang w:val="en-US" w:eastAsia="zh-CN"/>
              </w:rPr>
              <w:t>20</w:t>
            </w:r>
          </w:p>
        </w:tc>
        <w:tc>
          <w:tcPr>
            <w:tcW w:w="709" w:type="dxa"/>
            <w:vAlign w:val="center"/>
          </w:tcPr>
          <w:p>
            <w:pPr>
              <w:jc w:val="center"/>
              <w:rPr>
                <w:rFonts w:ascii="黑体" w:hAnsi="黑体" w:eastAsia="黑体"/>
                <w:color w:val="000000"/>
                <w:szCs w:val="21"/>
              </w:rPr>
            </w:pPr>
            <w:r>
              <w:rPr>
                <w:rFonts w:hint="eastAsia" w:ascii="黑体" w:hAnsi="黑体" w:eastAsia="黑体"/>
                <w:color w:val="000000"/>
                <w:szCs w:val="21"/>
              </w:rPr>
              <w:t>6</w:t>
            </w:r>
          </w:p>
        </w:tc>
        <w:tc>
          <w:tcPr>
            <w:tcW w:w="1559" w:type="dxa"/>
            <w:vMerge w:val="continue"/>
            <w:vAlign w:val="center"/>
          </w:tcPr>
          <w:p>
            <w:pPr>
              <w:jc w:val="center"/>
              <w:rPr>
                <w:rFonts w:ascii="黑体" w:hAnsi="黑体" w:eastAsia="黑体"/>
                <w:color w:val="000000"/>
                <w:szCs w:val="21"/>
              </w:rPr>
            </w:pPr>
          </w:p>
        </w:tc>
      </w:tr>
    </w:tbl>
    <w:p>
      <w:pPr>
        <w:spacing w:line="500" w:lineRule="exact"/>
        <w:ind w:firstLine="562" w:firstLineChars="200"/>
        <w:rPr>
          <w:rFonts w:ascii="黑体" w:hAnsi="黑体" w:eastAsia="黑体" w:cs="宋体"/>
          <w:b/>
          <w:color w:val="666666"/>
          <w:kern w:val="0"/>
          <w:sz w:val="28"/>
          <w:szCs w:val="28"/>
        </w:rPr>
      </w:pPr>
      <w:r>
        <w:rPr>
          <w:rFonts w:hint="eastAsia" w:ascii="黑体" w:hAnsi="黑体" w:eastAsia="黑体" w:cs="宋体"/>
          <w:b/>
          <w:color w:val="666666"/>
          <w:kern w:val="0"/>
          <w:sz w:val="28"/>
          <w:szCs w:val="28"/>
        </w:rPr>
        <w:t>四、课程内容</w:t>
      </w:r>
    </w:p>
    <w:p>
      <w:pPr>
        <w:numPr>
          <w:ilvl w:val="0"/>
          <w:numId w:val="0"/>
        </w:numPr>
        <w:spacing w:line="500" w:lineRule="exact"/>
        <w:ind w:firstLine="560" w:firstLineChars="200"/>
        <w:rPr>
          <w:rFonts w:hint="eastAsia" w:ascii="仿宋_GB2312" w:hAnsi="Verdana" w:eastAsia="仿宋_GB2312" w:cs="宋体"/>
          <w:color w:val="666666"/>
          <w:kern w:val="0"/>
          <w:sz w:val="28"/>
          <w:szCs w:val="28"/>
          <w:lang w:eastAsia="zh-CN"/>
        </w:rPr>
      </w:pPr>
      <w:r>
        <w:rPr>
          <w:rFonts w:hint="eastAsia" w:ascii="仿宋_GB2312" w:hAnsi="Verdana" w:eastAsia="仿宋_GB2312" w:cs="宋体"/>
          <w:color w:val="666666"/>
          <w:kern w:val="0"/>
          <w:sz w:val="28"/>
          <w:szCs w:val="28"/>
        </w:rPr>
        <w:t>《大学生职业发展与就业指导（一）》</w:t>
      </w:r>
      <w:r>
        <w:rPr>
          <w:rFonts w:hint="eastAsia" w:ascii="仿宋_GB2312" w:hAnsi="Verdana" w:eastAsia="仿宋_GB2312" w:cs="宋体"/>
          <w:color w:val="666666"/>
          <w:kern w:val="0"/>
          <w:sz w:val="28"/>
          <w:szCs w:val="28"/>
          <w:lang w:eastAsia="zh-CN"/>
        </w:rPr>
        <w:t>课程共分七个模块，依次为：</w:t>
      </w:r>
      <w:r>
        <w:rPr>
          <w:rFonts w:hint="eastAsia" w:ascii="仿宋_GB2312" w:hAnsi="Verdana" w:eastAsia="仿宋_GB2312" w:cs="宋体"/>
          <w:color w:val="666666"/>
          <w:kern w:val="0"/>
          <w:sz w:val="28"/>
          <w:szCs w:val="28"/>
        </w:rPr>
        <w:t>大学与大学生活</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大学与大学生活</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大学生职业生涯规划的基本问题</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 xml:space="preserve"> 大学生涯规划的价值选择</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职业生涯规划的内容</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大学生职业生涯规划的方法</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大学生职业规划与大学生活的管理</w:t>
      </w:r>
      <w:r>
        <w:rPr>
          <w:rFonts w:hint="eastAsia" w:ascii="仿宋_GB2312" w:hAnsi="Verdana" w:eastAsia="仿宋_GB2312" w:cs="宋体"/>
          <w:color w:val="666666"/>
          <w:kern w:val="0"/>
          <w:sz w:val="28"/>
          <w:szCs w:val="28"/>
          <w:lang w:eastAsia="zh-CN"/>
        </w:rPr>
        <w:t>。</w:t>
      </w:r>
    </w:p>
    <w:p>
      <w:pPr>
        <w:numPr>
          <w:ilvl w:val="0"/>
          <w:numId w:val="0"/>
        </w:numPr>
        <w:spacing w:line="500" w:lineRule="exact"/>
        <w:ind w:firstLine="560" w:firstLineChars="200"/>
        <w:rPr>
          <w:rFonts w:hint="eastAsia" w:ascii="仿宋_GB2312" w:hAnsi="Verdana" w:eastAsia="仿宋_GB2312" w:cs="宋体"/>
          <w:color w:val="666666"/>
          <w:kern w:val="0"/>
          <w:sz w:val="28"/>
          <w:szCs w:val="28"/>
          <w:lang w:eastAsia="zh-CN"/>
        </w:rPr>
      </w:pPr>
      <w:r>
        <w:rPr>
          <w:rFonts w:hint="eastAsia" w:ascii="仿宋_GB2312" w:hAnsi="Verdana" w:eastAsia="仿宋_GB2312" w:cs="宋体"/>
          <w:color w:val="666666"/>
          <w:kern w:val="0"/>
          <w:sz w:val="28"/>
          <w:szCs w:val="28"/>
        </w:rPr>
        <w:t>《大学生</w:t>
      </w:r>
      <w:r>
        <w:rPr>
          <w:rFonts w:hint="eastAsia" w:ascii="仿宋_GB2312" w:hAnsi="Verdana" w:eastAsia="仿宋_GB2312" w:cs="宋体"/>
          <w:color w:val="666666"/>
          <w:kern w:val="0"/>
          <w:sz w:val="28"/>
          <w:szCs w:val="28"/>
          <w:lang w:eastAsia="zh-CN"/>
        </w:rPr>
        <w:t>创业基础</w:t>
      </w:r>
      <w:r>
        <w:rPr>
          <w:rFonts w:hint="eastAsia" w:ascii="仿宋_GB2312" w:hAnsi="Verdana" w:eastAsia="仿宋_GB2312" w:cs="宋体"/>
          <w:color w:val="666666"/>
          <w:kern w:val="0"/>
          <w:sz w:val="28"/>
          <w:szCs w:val="28"/>
        </w:rPr>
        <w:t>》</w:t>
      </w:r>
      <w:r>
        <w:rPr>
          <w:rFonts w:hint="eastAsia" w:ascii="仿宋_GB2312" w:hAnsi="Verdana" w:eastAsia="仿宋_GB2312" w:cs="宋体"/>
          <w:color w:val="666666"/>
          <w:kern w:val="0"/>
          <w:sz w:val="28"/>
          <w:szCs w:val="28"/>
          <w:lang w:eastAsia="zh-CN"/>
        </w:rPr>
        <w:t>课程共分八个模块，依次为：</w:t>
      </w:r>
      <w:r>
        <w:rPr>
          <w:rFonts w:hint="eastAsia" w:ascii="仿宋_GB2312" w:hAnsi="Verdana" w:eastAsia="仿宋_GB2312" w:cs="宋体"/>
          <w:color w:val="666666"/>
          <w:kern w:val="0"/>
          <w:sz w:val="28"/>
          <w:szCs w:val="28"/>
        </w:rPr>
        <w:t xml:space="preserve">创业、创业精神与大学生的人生发展 </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 xml:space="preserve"> 创业者与创业团队 </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创业机会与创业风险 </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创业资源 </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创业计划</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 xml:space="preserve">  新企业的开办</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 xml:space="preserve"> 大学生创业赛事</w:t>
      </w:r>
      <w:r>
        <w:rPr>
          <w:rFonts w:hint="eastAsia" w:ascii="仿宋_GB2312" w:hAnsi="Verdana" w:eastAsia="仿宋_GB2312" w:cs="宋体"/>
          <w:color w:val="666666"/>
          <w:kern w:val="0"/>
          <w:sz w:val="28"/>
          <w:szCs w:val="28"/>
          <w:lang w:eastAsia="zh-CN"/>
        </w:rPr>
        <w:t>。</w:t>
      </w:r>
    </w:p>
    <w:p>
      <w:pPr>
        <w:numPr>
          <w:ilvl w:val="0"/>
          <w:numId w:val="0"/>
        </w:numPr>
        <w:spacing w:line="500" w:lineRule="exact"/>
        <w:ind w:firstLine="560" w:firstLineChars="200"/>
        <w:rPr>
          <w:rFonts w:hint="eastAsia" w:ascii="仿宋_GB2312" w:hAnsi="Verdana" w:eastAsia="仿宋_GB2312" w:cs="宋体"/>
          <w:color w:val="666666"/>
          <w:kern w:val="0"/>
          <w:sz w:val="28"/>
          <w:szCs w:val="28"/>
          <w:lang w:eastAsia="zh-CN"/>
        </w:rPr>
      </w:pPr>
      <w:r>
        <w:rPr>
          <w:rFonts w:hint="eastAsia" w:ascii="仿宋_GB2312" w:hAnsi="Verdana" w:eastAsia="仿宋_GB2312" w:cs="宋体"/>
          <w:color w:val="666666"/>
          <w:kern w:val="0"/>
          <w:sz w:val="28"/>
          <w:szCs w:val="28"/>
        </w:rPr>
        <w:t>《大学生职业发展与就业指导（</w:t>
      </w:r>
      <w:r>
        <w:rPr>
          <w:rFonts w:hint="eastAsia" w:ascii="仿宋_GB2312" w:hAnsi="Verdana" w:eastAsia="仿宋_GB2312" w:cs="宋体"/>
          <w:color w:val="666666"/>
          <w:kern w:val="0"/>
          <w:sz w:val="28"/>
          <w:szCs w:val="28"/>
          <w:lang w:eastAsia="zh-CN"/>
        </w:rPr>
        <w:t>二</w:t>
      </w:r>
      <w:r>
        <w:rPr>
          <w:rFonts w:hint="eastAsia" w:ascii="仿宋_GB2312" w:hAnsi="Verdana" w:eastAsia="仿宋_GB2312" w:cs="宋体"/>
          <w:color w:val="666666"/>
          <w:kern w:val="0"/>
          <w:sz w:val="28"/>
          <w:szCs w:val="28"/>
        </w:rPr>
        <w:t>）》</w:t>
      </w:r>
      <w:r>
        <w:rPr>
          <w:rFonts w:hint="eastAsia" w:ascii="仿宋_GB2312" w:hAnsi="Verdana" w:eastAsia="仿宋_GB2312" w:cs="宋体"/>
          <w:color w:val="666666"/>
          <w:kern w:val="0"/>
          <w:sz w:val="28"/>
          <w:szCs w:val="28"/>
          <w:lang w:eastAsia="zh-CN"/>
        </w:rPr>
        <w:t>课程共分十个模块，依次为：</w:t>
      </w:r>
      <w:r>
        <w:rPr>
          <w:rFonts w:hint="eastAsia" w:ascii="仿宋_GB2312" w:hAnsi="Verdana" w:eastAsia="仿宋_GB2312" w:cs="宋体"/>
          <w:color w:val="666666"/>
          <w:kern w:val="0"/>
          <w:sz w:val="28"/>
          <w:szCs w:val="28"/>
        </w:rPr>
        <w:t>大学生就业形势与政策</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大学生就业的准备</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大学生职业素养提升</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大学生择业心理</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大学生求职技巧</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 xml:space="preserve"> 毕业生就业程序</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就业权益维护</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职业生涯管理与职业发展</w:t>
      </w:r>
      <w:r>
        <w:rPr>
          <w:rFonts w:hint="eastAsia" w:ascii="仿宋_GB2312" w:hAnsi="Verdana" w:eastAsia="仿宋_GB2312" w:cs="宋体"/>
          <w:color w:val="666666"/>
          <w:kern w:val="0"/>
          <w:sz w:val="28"/>
          <w:szCs w:val="28"/>
          <w:lang w:eastAsia="zh-CN"/>
        </w:rPr>
        <w:t>；</w:t>
      </w:r>
      <w:r>
        <w:rPr>
          <w:rFonts w:hint="eastAsia" w:ascii="仿宋_GB2312" w:hAnsi="Verdana" w:eastAsia="仿宋_GB2312" w:cs="宋体"/>
          <w:color w:val="666666"/>
          <w:kern w:val="0"/>
          <w:sz w:val="28"/>
          <w:szCs w:val="28"/>
        </w:rPr>
        <w:t>实践实训--简历制作</w:t>
      </w:r>
      <w:r>
        <w:rPr>
          <w:rFonts w:hint="eastAsia" w:ascii="仿宋_GB2312" w:hAnsi="Verdana" w:eastAsia="仿宋_GB2312" w:cs="宋体"/>
          <w:color w:val="666666"/>
          <w:kern w:val="0"/>
          <w:sz w:val="28"/>
          <w:szCs w:val="28"/>
          <w:lang w:eastAsia="zh-CN"/>
        </w:rPr>
        <w:t>、模拟面试。</w:t>
      </w:r>
    </w:p>
    <w:p>
      <w:pPr>
        <w:spacing w:line="500" w:lineRule="exact"/>
        <w:ind w:firstLine="422" w:firstLineChars="150"/>
        <w:rPr>
          <w:rFonts w:ascii="黑体" w:hAnsi="黑体" w:eastAsia="黑体" w:cs="宋体"/>
          <w:b/>
          <w:color w:val="666666"/>
          <w:kern w:val="0"/>
          <w:sz w:val="28"/>
          <w:szCs w:val="28"/>
        </w:rPr>
      </w:pPr>
      <w:r>
        <w:rPr>
          <w:rFonts w:hint="eastAsia" w:ascii="黑体" w:hAnsi="黑体" w:eastAsia="黑体" w:cs="宋体"/>
          <w:b/>
          <w:color w:val="666666"/>
          <w:kern w:val="0"/>
          <w:sz w:val="28"/>
          <w:szCs w:val="28"/>
        </w:rPr>
        <w:t>五、</w:t>
      </w:r>
      <w:r>
        <w:rPr>
          <w:rFonts w:ascii="黑体" w:hAnsi="黑体" w:eastAsia="黑体" w:cs="宋体"/>
          <w:b/>
          <w:color w:val="666666"/>
          <w:kern w:val="0"/>
          <w:sz w:val="28"/>
          <w:szCs w:val="28"/>
        </w:rPr>
        <w:t>课程管理</w:t>
      </w:r>
    </w:p>
    <w:p>
      <w:pPr>
        <w:pStyle w:val="4"/>
        <w:spacing w:before="0" w:beforeAutospacing="0" w:after="0" w:afterAutospacing="0" w:line="500" w:lineRule="exact"/>
        <w:ind w:firstLine="480"/>
        <w:rPr>
          <w:rFonts w:ascii="仿宋_GB2312" w:hAnsi="Verdana" w:eastAsia="仿宋_GB2312"/>
          <w:color w:val="666666"/>
          <w:sz w:val="28"/>
          <w:szCs w:val="28"/>
        </w:rPr>
      </w:pPr>
      <w:r>
        <w:rPr>
          <w:rFonts w:hint="eastAsia" w:ascii="仿宋_GB2312" w:hAnsi="Verdana" w:eastAsia="仿宋_GB2312"/>
          <w:color w:val="666666"/>
          <w:sz w:val="28"/>
          <w:szCs w:val="28"/>
        </w:rPr>
        <w:t>教务处和创新创业学院共同负责《</w:t>
      </w:r>
      <w:r>
        <w:rPr>
          <w:rFonts w:ascii="仿宋_GB2312" w:hAnsi="Verdana" w:eastAsia="仿宋_GB2312"/>
          <w:color w:val="666666"/>
          <w:sz w:val="28"/>
          <w:szCs w:val="28"/>
        </w:rPr>
        <w:t>大学生就业创业指导</w:t>
      </w:r>
      <w:r>
        <w:rPr>
          <w:rFonts w:hint="eastAsia" w:ascii="仿宋_GB2312" w:hAnsi="Verdana" w:eastAsia="仿宋_GB2312"/>
          <w:color w:val="666666"/>
          <w:sz w:val="28"/>
          <w:szCs w:val="28"/>
        </w:rPr>
        <w:t>》课程的建设管理。</w:t>
      </w:r>
    </w:p>
    <w:p>
      <w:pPr>
        <w:pStyle w:val="4"/>
        <w:spacing w:before="0" w:beforeAutospacing="0" w:after="0" w:afterAutospacing="0" w:line="500" w:lineRule="exact"/>
        <w:ind w:firstLine="482"/>
        <w:rPr>
          <w:rFonts w:ascii="仿宋_GB2312" w:hAnsi="Verdana" w:eastAsia="仿宋_GB2312"/>
          <w:color w:val="666666"/>
          <w:sz w:val="28"/>
          <w:szCs w:val="28"/>
        </w:rPr>
      </w:pPr>
      <w:r>
        <w:rPr>
          <w:rFonts w:ascii="仿宋_GB2312" w:hAnsi="Verdana" w:eastAsia="仿宋_GB2312"/>
          <w:color w:val="666666"/>
          <w:sz w:val="28"/>
          <w:szCs w:val="28"/>
        </w:rPr>
        <w:t>（一）</w:t>
      </w:r>
      <w:r>
        <w:rPr>
          <w:rFonts w:hint="eastAsia" w:ascii="仿宋_GB2312" w:hAnsi="Verdana" w:eastAsia="仿宋_GB2312"/>
          <w:color w:val="666666"/>
          <w:sz w:val="28"/>
          <w:szCs w:val="28"/>
        </w:rPr>
        <w:t>教务处负责将课程纳入人才培养方案，以公共必修课的形式在各年级各专业学生的学期教学计划中体现出来，并对课程建设进行监督管理，包括</w:t>
      </w:r>
      <w:r>
        <w:rPr>
          <w:rFonts w:ascii="仿宋_GB2312" w:hAnsi="Verdana" w:eastAsia="仿宋_GB2312"/>
          <w:color w:val="666666"/>
          <w:sz w:val="28"/>
          <w:szCs w:val="28"/>
        </w:rPr>
        <w:t>教学的整体安排、教学质量的</w:t>
      </w:r>
      <w:r>
        <w:rPr>
          <w:rFonts w:hint="eastAsia" w:ascii="仿宋_GB2312" w:hAnsi="Verdana" w:eastAsia="仿宋_GB2312"/>
          <w:color w:val="666666"/>
          <w:sz w:val="28"/>
          <w:szCs w:val="28"/>
        </w:rPr>
        <w:t>督导，</w:t>
      </w:r>
      <w:r>
        <w:rPr>
          <w:rFonts w:ascii="仿宋_GB2312" w:hAnsi="Verdana" w:eastAsia="仿宋_GB2312"/>
          <w:color w:val="666666"/>
          <w:sz w:val="28"/>
          <w:szCs w:val="28"/>
        </w:rPr>
        <w:t>教学工作量的核算</w:t>
      </w:r>
      <w:r>
        <w:rPr>
          <w:rFonts w:hint="eastAsia" w:ascii="仿宋_GB2312" w:hAnsi="Verdana" w:eastAsia="仿宋_GB2312"/>
          <w:color w:val="666666"/>
          <w:sz w:val="28"/>
          <w:szCs w:val="28"/>
        </w:rPr>
        <w:t>等工作。</w:t>
      </w:r>
    </w:p>
    <w:p>
      <w:pPr>
        <w:widowControl/>
        <w:shd w:val="clear" w:color="auto" w:fill="FFFFFF"/>
        <w:spacing w:line="500" w:lineRule="exact"/>
        <w:ind w:firstLine="555"/>
        <w:jc w:val="left"/>
        <w:rPr>
          <w:rFonts w:ascii="仿宋_GB2312" w:hAnsi="Verdana" w:eastAsia="仿宋_GB2312" w:cs="宋体"/>
          <w:color w:val="666666"/>
          <w:kern w:val="0"/>
          <w:sz w:val="28"/>
          <w:szCs w:val="28"/>
        </w:rPr>
      </w:pPr>
      <w:r>
        <w:rPr>
          <w:rFonts w:ascii="仿宋_GB2312" w:hAnsi="Verdana" w:eastAsia="仿宋_GB2312" w:cs="宋体"/>
          <w:color w:val="666666"/>
          <w:kern w:val="0"/>
          <w:sz w:val="28"/>
          <w:szCs w:val="28"/>
        </w:rPr>
        <w:t>（</w:t>
      </w:r>
      <w:r>
        <w:rPr>
          <w:rFonts w:hint="eastAsia" w:ascii="仿宋_GB2312" w:hAnsi="Verdana" w:eastAsia="仿宋_GB2312" w:cs="宋体"/>
          <w:color w:val="666666"/>
          <w:kern w:val="0"/>
          <w:sz w:val="28"/>
          <w:szCs w:val="28"/>
        </w:rPr>
        <w:t>二</w:t>
      </w:r>
      <w:r>
        <w:rPr>
          <w:rFonts w:ascii="仿宋_GB2312" w:hAnsi="Verdana" w:eastAsia="仿宋_GB2312" w:cs="宋体"/>
          <w:color w:val="666666"/>
          <w:kern w:val="0"/>
          <w:sz w:val="28"/>
          <w:szCs w:val="28"/>
        </w:rPr>
        <w:t>）</w:t>
      </w:r>
      <w:r>
        <w:rPr>
          <w:rFonts w:hint="eastAsia" w:ascii="仿宋_GB2312" w:hAnsi="Verdana" w:eastAsia="仿宋_GB2312" w:cs="宋体"/>
          <w:color w:val="666666"/>
          <w:kern w:val="0"/>
          <w:sz w:val="28"/>
          <w:szCs w:val="28"/>
        </w:rPr>
        <w:t>创新创业学院就业创业指导教研室负责</w:t>
      </w:r>
      <w:r>
        <w:rPr>
          <w:rFonts w:ascii="仿宋_GB2312" w:hAnsi="Verdana" w:eastAsia="仿宋_GB2312" w:cs="宋体"/>
          <w:color w:val="666666"/>
          <w:kern w:val="0"/>
          <w:sz w:val="28"/>
          <w:szCs w:val="28"/>
        </w:rPr>
        <w:t>在全校开展此项工作的教</w:t>
      </w:r>
      <w:r>
        <w:rPr>
          <w:rFonts w:hint="eastAsia" w:ascii="仿宋_GB2312" w:hAnsi="Verdana" w:eastAsia="仿宋_GB2312" w:cs="宋体"/>
          <w:color w:val="666666"/>
          <w:kern w:val="0"/>
          <w:sz w:val="28"/>
          <w:szCs w:val="28"/>
        </w:rPr>
        <w:t>学</w:t>
      </w:r>
      <w:r>
        <w:rPr>
          <w:rFonts w:ascii="仿宋_GB2312" w:hAnsi="Verdana" w:eastAsia="仿宋_GB2312" w:cs="宋体"/>
          <w:color w:val="666666"/>
          <w:kern w:val="0"/>
          <w:sz w:val="28"/>
          <w:szCs w:val="28"/>
        </w:rPr>
        <w:t>计划和工作规划并组织实</w:t>
      </w:r>
      <w:r>
        <w:rPr>
          <w:rFonts w:hint="eastAsia" w:ascii="仿宋_GB2312" w:hAnsi="Verdana" w:eastAsia="仿宋_GB2312" w:cs="宋体"/>
          <w:color w:val="666666"/>
          <w:kern w:val="0"/>
          <w:sz w:val="28"/>
          <w:szCs w:val="28"/>
        </w:rPr>
        <w:t>施，包括教学方案的制定、</w:t>
      </w:r>
      <w:r>
        <w:rPr>
          <w:rFonts w:ascii="仿宋_GB2312" w:hAnsi="Verdana" w:eastAsia="仿宋_GB2312" w:cs="宋体"/>
          <w:color w:val="666666"/>
          <w:kern w:val="0"/>
          <w:sz w:val="28"/>
          <w:szCs w:val="28"/>
        </w:rPr>
        <w:t>教学大纲的</w:t>
      </w:r>
      <w:r>
        <w:rPr>
          <w:rFonts w:hint="eastAsia" w:ascii="仿宋_GB2312" w:hAnsi="Verdana" w:eastAsia="仿宋_GB2312" w:cs="宋体"/>
          <w:color w:val="666666"/>
          <w:kern w:val="0"/>
          <w:sz w:val="28"/>
          <w:szCs w:val="28"/>
        </w:rPr>
        <w:t>起草</w:t>
      </w:r>
      <w:r>
        <w:rPr>
          <w:rFonts w:ascii="仿宋_GB2312" w:hAnsi="Verdana" w:eastAsia="仿宋_GB2312" w:cs="宋体"/>
          <w:color w:val="666666"/>
          <w:kern w:val="0"/>
          <w:sz w:val="28"/>
          <w:szCs w:val="28"/>
        </w:rPr>
        <w:t>、教学效果的研讨</w:t>
      </w:r>
      <w:r>
        <w:rPr>
          <w:rFonts w:hint="eastAsia" w:ascii="仿宋_GB2312" w:hAnsi="Verdana" w:eastAsia="仿宋_GB2312" w:cs="宋体"/>
          <w:color w:val="666666"/>
          <w:kern w:val="0"/>
          <w:sz w:val="28"/>
          <w:szCs w:val="28"/>
        </w:rPr>
        <w:t>、师资队伍建设</w:t>
      </w:r>
      <w:r>
        <w:rPr>
          <w:rFonts w:ascii="仿宋_GB2312" w:hAnsi="Verdana" w:eastAsia="仿宋_GB2312" w:cs="宋体"/>
          <w:color w:val="666666"/>
          <w:kern w:val="0"/>
          <w:sz w:val="28"/>
          <w:szCs w:val="28"/>
        </w:rPr>
        <w:t>以及</w:t>
      </w:r>
      <w:r>
        <w:rPr>
          <w:rFonts w:hint="eastAsia" w:ascii="仿宋_GB2312" w:hAnsi="Verdana" w:eastAsia="仿宋_GB2312" w:cs="宋体"/>
          <w:color w:val="666666"/>
          <w:kern w:val="0"/>
          <w:sz w:val="28"/>
          <w:szCs w:val="28"/>
        </w:rPr>
        <w:t>对课程教学的日常管理</w:t>
      </w:r>
      <w:r>
        <w:rPr>
          <w:rFonts w:ascii="仿宋_GB2312" w:hAnsi="Verdana" w:eastAsia="仿宋_GB2312" w:cs="宋体"/>
          <w:color w:val="666666"/>
          <w:kern w:val="0"/>
          <w:sz w:val="28"/>
          <w:szCs w:val="28"/>
        </w:rPr>
        <w:t>。</w:t>
      </w:r>
    </w:p>
    <w:p>
      <w:pPr>
        <w:widowControl/>
        <w:adjustRightInd w:val="0"/>
        <w:snapToGrid w:val="0"/>
        <w:spacing w:beforeLines="50" w:line="360" w:lineRule="auto"/>
        <w:ind w:firstLine="562" w:firstLineChars="200"/>
        <w:jc w:val="left"/>
        <w:rPr>
          <w:rFonts w:ascii="黑体" w:hAnsi="黑体" w:eastAsia="黑体" w:cs="宋体"/>
          <w:b/>
          <w:color w:val="666666"/>
          <w:kern w:val="0"/>
          <w:sz w:val="28"/>
          <w:szCs w:val="28"/>
        </w:rPr>
      </w:pPr>
      <w:r>
        <w:rPr>
          <w:rFonts w:hint="eastAsia" w:ascii="黑体" w:hAnsi="黑体" w:eastAsia="黑体" w:cs="宋体"/>
          <w:b/>
          <w:color w:val="666666"/>
          <w:kern w:val="0"/>
          <w:sz w:val="28"/>
          <w:szCs w:val="28"/>
        </w:rPr>
        <w:t>六、课程教学</w:t>
      </w:r>
    </w:p>
    <w:p>
      <w:pPr>
        <w:spacing w:line="500" w:lineRule="exact"/>
        <w:ind w:firstLine="560" w:firstLineChars="200"/>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课程教学</w:t>
      </w:r>
      <w:r>
        <w:rPr>
          <w:rFonts w:ascii="仿宋_GB2312" w:hAnsi="Verdana" w:eastAsia="仿宋_GB2312" w:cs="宋体"/>
          <w:color w:val="666666"/>
          <w:kern w:val="0"/>
          <w:sz w:val="28"/>
          <w:szCs w:val="28"/>
        </w:rPr>
        <w:t>以合班</w:t>
      </w:r>
      <w:r>
        <w:rPr>
          <w:rFonts w:hint="eastAsia" w:ascii="仿宋_GB2312" w:hAnsi="Verdana" w:eastAsia="仿宋_GB2312" w:cs="宋体"/>
          <w:color w:val="666666"/>
          <w:kern w:val="0"/>
          <w:sz w:val="28"/>
          <w:szCs w:val="28"/>
        </w:rPr>
        <w:t>（300人左右）形式开课，主要</w:t>
      </w:r>
      <w:r>
        <w:rPr>
          <w:rFonts w:ascii="仿宋_GB2312" w:hAnsi="Verdana" w:eastAsia="仿宋_GB2312" w:cs="宋体"/>
          <w:color w:val="666666"/>
          <w:kern w:val="0"/>
          <w:sz w:val="28"/>
          <w:szCs w:val="28"/>
        </w:rPr>
        <w:t>采用</w:t>
      </w:r>
      <w:r>
        <w:rPr>
          <w:rFonts w:hint="eastAsia" w:ascii="仿宋_GB2312" w:hAnsi="Verdana" w:eastAsia="仿宋_GB2312" w:cs="宋体"/>
          <w:color w:val="666666"/>
          <w:kern w:val="0"/>
          <w:sz w:val="28"/>
          <w:szCs w:val="28"/>
        </w:rPr>
        <w:t>课上课下</w:t>
      </w:r>
      <w:r>
        <w:rPr>
          <w:rFonts w:ascii="仿宋_GB2312" w:hAnsi="Verdana" w:eastAsia="仿宋_GB2312" w:cs="宋体"/>
          <w:color w:val="666666"/>
          <w:kern w:val="0"/>
          <w:sz w:val="28"/>
          <w:szCs w:val="28"/>
        </w:rPr>
        <w:t>、</w:t>
      </w:r>
      <w:r>
        <w:rPr>
          <w:rFonts w:hint="eastAsia" w:ascii="仿宋_GB2312" w:hAnsi="Verdana" w:eastAsia="仿宋_GB2312" w:cs="宋体"/>
          <w:color w:val="666666"/>
          <w:kern w:val="0"/>
          <w:sz w:val="28"/>
          <w:szCs w:val="28"/>
        </w:rPr>
        <w:t>线上线下，理论</w:t>
      </w:r>
      <w:r>
        <w:rPr>
          <w:rFonts w:ascii="仿宋_GB2312" w:hAnsi="Verdana" w:eastAsia="仿宋_GB2312" w:cs="宋体"/>
          <w:color w:val="666666"/>
          <w:kern w:val="0"/>
          <w:sz w:val="28"/>
          <w:szCs w:val="28"/>
        </w:rPr>
        <w:t>与</w:t>
      </w:r>
      <w:r>
        <w:rPr>
          <w:rFonts w:hint="eastAsia" w:ascii="仿宋_GB2312" w:hAnsi="Verdana" w:eastAsia="仿宋_GB2312" w:cs="宋体"/>
          <w:color w:val="666666"/>
          <w:kern w:val="0"/>
          <w:sz w:val="28"/>
          <w:szCs w:val="28"/>
        </w:rPr>
        <w:t>实践</w:t>
      </w:r>
      <w:r>
        <w:rPr>
          <w:rFonts w:ascii="仿宋_GB2312" w:hAnsi="Verdana" w:eastAsia="仿宋_GB2312" w:cs="宋体"/>
          <w:color w:val="666666"/>
          <w:kern w:val="0"/>
          <w:sz w:val="28"/>
          <w:szCs w:val="28"/>
        </w:rPr>
        <w:t>相结合的方式进行</w:t>
      </w:r>
      <w:r>
        <w:rPr>
          <w:rFonts w:hint="eastAsia" w:ascii="仿宋_GB2312" w:hAnsi="Verdana" w:eastAsia="仿宋_GB2312" w:cs="宋体"/>
          <w:color w:val="666666"/>
          <w:kern w:val="0"/>
          <w:sz w:val="28"/>
          <w:szCs w:val="28"/>
        </w:rPr>
        <w:t>。教学</w:t>
      </w:r>
      <w:r>
        <w:rPr>
          <w:rFonts w:ascii="仿宋_GB2312" w:hAnsi="Verdana" w:eastAsia="仿宋_GB2312" w:cs="宋体"/>
          <w:color w:val="666666"/>
          <w:kern w:val="0"/>
          <w:sz w:val="28"/>
          <w:szCs w:val="28"/>
        </w:rPr>
        <w:t>方法</w:t>
      </w:r>
      <w:r>
        <w:rPr>
          <w:rFonts w:hint="eastAsia" w:ascii="仿宋_GB2312" w:hAnsi="Verdana" w:eastAsia="仿宋_GB2312" w:cs="宋体"/>
          <w:color w:val="666666"/>
          <w:kern w:val="0"/>
          <w:sz w:val="28"/>
          <w:szCs w:val="28"/>
        </w:rPr>
        <w:t>可采用</w:t>
      </w:r>
      <w:r>
        <w:rPr>
          <w:rFonts w:ascii="仿宋_GB2312" w:hAnsi="Verdana" w:eastAsia="仿宋_GB2312" w:cs="宋体"/>
          <w:color w:val="666666"/>
          <w:kern w:val="0"/>
          <w:sz w:val="28"/>
          <w:szCs w:val="28"/>
        </w:rPr>
        <w:t>典型案例分析、情景模拟训练、小组讨论、角色扮演、社会调查、实习见习等</w:t>
      </w:r>
      <w:r>
        <w:rPr>
          <w:rFonts w:hint="eastAsia" w:ascii="仿宋_GB2312" w:hAnsi="Verdana" w:eastAsia="仿宋_GB2312" w:cs="宋体"/>
          <w:color w:val="666666"/>
          <w:kern w:val="0"/>
          <w:sz w:val="28"/>
          <w:szCs w:val="28"/>
        </w:rPr>
        <w:t>进行</w:t>
      </w:r>
      <w:r>
        <w:rPr>
          <w:rFonts w:ascii="仿宋_GB2312" w:hAnsi="Verdana" w:eastAsia="仿宋_GB2312" w:cs="宋体"/>
          <w:color w:val="666666"/>
          <w:kern w:val="0"/>
          <w:sz w:val="28"/>
          <w:szCs w:val="28"/>
        </w:rPr>
        <w:t>。在教学的过程中，也可以调动社会资源，</w:t>
      </w:r>
      <w:r>
        <w:rPr>
          <w:rFonts w:hint="eastAsia" w:ascii="仿宋_GB2312" w:hAnsi="Verdana" w:eastAsia="仿宋_GB2312" w:cs="宋体"/>
          <w:color w:val="666666"/>
          <w:kern w:val="0"/>
          <w:sz w:val="28"/>
          <w:szCs w:val="28"/>
        </w:rPr>
        <w:t>邀请</w:t>
      </w:r>
      <w:r>
        <w:rPr>
          <w:rFonts w:ascii="仿宋_GB2312" w:hAnsi="Verdana" w:eastAsia="仿宋_GB2312" w:cs="宋体"/>
          <w:color w:val="666666"/>
          <w:kern w:val="0"/>
          <w:sz w:val="28"/>
          <w:szCs w:val="28"/>
        </w:rPr>
        <w:t>外聘专家、</w:t>
      </w:r>
      <w:r>
        <w:rPr>
          <w:rFonts w:hint="eastAsia" w:ascii="仿宋_GB2312" w:hAnsi="Verdana" w:eastAsia="仿宋_GB2312" w:cs="宋体"/>
          <w:color w:val="666666"/>
          <w:kern w:val="0"/>
          <w:sz w:val="28"/>
          <w:szCs w:val="28"/>
        </w:rPr>
        <w:t>优秀</w:t>
      </w:r>
      <w:r>
        <w:rPr>
          <w:rFonts w:ascii="仿宋_GB2312" w:hAnsi="Verdana" w:eastAsia="仿宋_GB2312" w:cs="宋体"/>
          <w:color w:val="666666"/>
          <w:kern w:val="0"/>
          <w:sz w:val="28"/>
          <w:szCs w:val="28"/>
        </w:rPr>
        <w:t>校友</w:t>
      </w:r>
      <w:r>
        <w:rPr>
          <w:rFonts w:hint="eastAsia" w:ascii="仿宋_GB2312" w:hAnsi="Verdana" w:eastAsia="仿宋_GB2312" w:cs="宋体"/>
          <w:color w:val="666666"/>
          <w:kern w:val="0"/>
          <w:sz w:val="28"/>
          <w:szCs w:val="28"/>
        </w:rPr>
        <w:t>开展</w:t>
      </w:r>
      <w:r>
        <w:rPr>
          <w:rFonts w:ascii="仿宋_GB2312" w:hAnsi="Verdana" w:eastAsia="仿宋_GB2312" w:cs="宋体"/>
          <w:color w:val="666666"/>
          <w:kern w:val="0"/>
          <w:sz w:val="28"/>
          <w:szCs w:val="28"/>
        </w:rPr>
        <w:t>专题讲座和座谈相结合的方法。</w:t>
      </w:r>
    </w:p>
    <w:p>
      <w:pPr>
        <w:widowControl/>
        <w:adjustRightInd w:val="0"/>
        <w:snapToGrid w:val="0"/>
        <w:spacing w:before="78" w:line="360" w:lineRule="auto"/>
        <w:ind w:firstLine="562" w:firstLineChars="200"/>
        <w:jc w:val="left"/>
        <w:rPr>
          <w:rFonts w:ascii="黑体" w:hAnsi="黑体" w:eastAsia="黑体" w:cs="宋体"/>
          <w:b/>
          <w:color w:val="666666"/>
          <w:kern w:val="0"/>
          <w:sz w:val="28"/>
          <w:szCs w:val="28"/>
        </w:rPr>
      </w:pPr>
      <w:r>
        <w:rPr>
          <w:rFonts w:hint="eastAsia" w:ascii="黑体" w:hAnsi="黑体" w:eastAsia="黑体" w:cs="宋体"/>
          <w:b/>
          <w:color w:val="666666"/>
          <w:kern w:val="0"/>
          <w:sz w:val="28"/>
          <w:szCs w:val="28"/>
        </w:rPr>
        <w:t>七、课程评估</w:t>
      </w:r>
    </w:p>
    <w:p>
      <w:pPr>
        <w:widowControl/>
        <w:spacing w:line="500" w:lineRule="exact"/>
        <w:ind w:firstLine="482"/>
        <w:jc w:val="left"/>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课程评估采用过程评价和结果评价相结合的方式，适当突出过程评价，即学生对课程的所学、所感、所用。结果评价主要从学生对课程的评教评学和学生的综合职业能力的提升来评估，要结合学科专业特点，从学生对职业发展、创新创业、求职择业等相关知识的理解和掌握，以及实际形成的职业发展规划（表现在自我发展目标明确，自主学习动力强劲）、就业创业实际能力（表现在就业率高和创业人数增多）两大方面进行评价。</w:t>
      </w:r>
    </w:p>
    <w:p>
      <w:pPr>
        <w:pStyle w:val="4"/>
        <w:spacing w:before="0" w:beforeAutospacing="0" w:after="0" w:afterAutospacing="0" w:line="500" w:lineRule="exact"/>
        <w:ind w:firstLine="621" w:firstLineChars="221"/>
        <w:rPr>
          <w:rFonts w:ascii="仿宋_GB2312" w:hAnsi="Verdana" w:eastAsia="仿宋_GB2312"/>
          <w:color w:val="666666"/>
          <w:sz w:val="28"/>
          <w:szCs w:val="28"/>
        </w:rPr>
      </w:pPr>
      <w:r>
        <w:rPr>
          <w:rFonts w:hint="eastAsia" w:ascii="黑体" w:hAnsi="黑体" w:eastAsia="黑体"/>
          <w:b/>
          <w:color w:val="666666"/>
          <w:sz w:val="28"/>
          <w:szCs w:val="28"/>
        </w:rPr>
        <w:t>八</w:t>
      </w:r>
      <w:r>
        <w:rPr>
          <w:rFonts w:ascii="黑体" w:hAnsi="黑体" w:eastAsia="黑体"/>
          <w:b/>
          <w:color w:val="666666"/>
          <w:sz w:val="28"/>
          <w:szCs w:val="28"/>
        </w:rPr>
        <w:t>、课程考核</w:t>
      </w:r>
    </w:p>
    <w:p>
      <w:pPr>
        <w:widowControl/>
        <w:spacing w:line="500" w:lineRule="exact"/>
        <w:ind w:firstLine="482"/>
        <w:jc w:val="left"/>
        <w:rPr>
          <w:rFonts w:ascii="仿宋_GB2312" w:hAnsi="Verdana" w:eastAsia="仿宋_GB2312" w:cs="宋体"/>
          <w:color w:val="666666"/>
          <w:kern w:val="0"/>
          <w:sz w:val="28"/>
          <w:szCs w:val="28"/>
        </w:rPr>
      </w:pPr>
      <w:r>
        <w:rPr>
          <w:rFonts w:ascii="仿宋_GB2312" w:hAnsi="Verdana" w:eastAsia="仿宋_GB2312" w:cs="宋体"/>
          <w:color w:val="666666"/>
          <w:kern w:val="0"/>
          <w:sz w:val="28"/>
          <w:szCs w:val="28"/>
        </w:rPr>
        <w:t> </w:t>
      </w:r>
      <w:r>
        <w:rPr>
          <w:rFonts w:hint="eastAsia" w:ascii="仿宋_GB2312" w:hAnsi="Verdana" w:eastAsia="仿宋_GB2312" w:cs="宋体"/>
          <w:color w:val="666666"/>
          <w:kern w:val="0"/>
          <w:sz w:val="28"/>
          <w:szCs w:val="28"/>
        </w:rPr>
        <w:t>《大学生就业创业指导》课程考核以考查课的形式开展，成绩计算采用优秀、良好、中等、合格、不合格五级记分制。成绩构成分平时成绩（占30%）和期末成绩（70%）。平时成绩包括上课考勤、课堂表现、完成作业等；期末成绩以学习心得、调研报告、职业生涯规划书、创业设计书、尔雅网络课程学习等形式进行。</w:t>
      </w:r>
    </w:p>
    <w:p>
      <w:pPr>
        <w:pStyle w:val="4"/>
        <w:spacing w:before="0" w:beforeAutospacing="0" w:after="0" w:afterAutospacing="0" w:line="500" w:lineRule="exact"/>
        <w:ind w:firstLine="621" w:firstLineChars="221"/>
        <w:rPr>
          <w:rFonts w:ascii="黑体" w:hAnsi="黑体" w:eastAsia="黑体"/>
          <w:b/>
          <w:color w:val="666666"/>
          <w:sz w:val="28"/>
          <w:szCs w:val="28"/>
        </w:rPr>
      </w:pPr>
      <w:r>
        <w:rPr>
          <w:rFonts w:hint="eastAsia" w:ascii="黑体" w:hAnsi="黑体" w:eastAsia="黑体"/>
          <w:b/>
          <w:color w:val="666666"/>
          <w:sz w:val="28"/>
          <w:szCs w:val="28"/>
        </w:rPr>
        <w:t>九</w:t>
      </w:r>
      <w:r>
        <w:rPr>
          <w:rFonts w:ascii="黑体" w:hAnsi="黑体" w:eastAsia="黑体"/>
          <w:b/>
          <w:color w:val="666666"/>
          <w:sz w:val="28"/>
          <w:szCs w:val="28"/>
        </w:rPr>
        <w:t>、课程</w:t>
      </w:r>
      <w:r>
        <w:rPr>
          <w:rFonts w:hint="eastAsia" w:ascii="黑体" w:hAnsi="黑体" w:eastAsia="黑体"/>
          <w:b/>
          <w:color w:val="666666"/>
          <w:sz w:val="28"/>
          <w:szCs w:val="28"/>
        </w:rPr>
        <w:t>教材</w:t>
      </w:r>
    </w:p>
    <w:p>
      <w:pPr>
        <w:widowControl/>
        <w:spacing w:line="500" w:lineRule="exact"/>
        <w:ind w:firstLine="482"/>
        <w:jc w:val="left"/>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教材采用我校自主研发并公开发行的配套教材《大学生职业生涯发展规划教程》、《大学生创业就业指导教程》（普通高等教育公共基础课系列“十三五”规划教材），此教材结合我校就业创业工作和教学实际研发，更能高效、便捷地开展课程教学，更有利于提升学生的职业规划发展与就业创业能力。</w:t>
      </w:r>
    </w:p>
    <w:p>
      <w:pPr>
        <w:pStyle w:val="4"/>
        <w:spacing w:before="0" w:beforeAutospacing="0" w:after="0" w:afterAutospacing="0" w:line="500" w:lineRule="exact"/>
        <w:ind w:firstLine="562" w:firstLineChars="200"/>
        <w:rPr>
          <w:rFonts w:ascii="黑体" w:hAnsi="黑体" w:eastAsia="黑体"/>
          <w:b/>
          <w:color w:val="666666"/>
          <w:sz w:val="28"/>
          <w:szCs w:val="28"/>
        </w:rPr>
      </w:pPr>
      <w:r>
        <w:rPr>
          <w:rFonts w:hint="eastAsia" w:ascii="黑体" w:hAnsi="黑体" w:eastAsia="黑体"/>
          <w:b/>
          <w:color w:val="666666"/>
          <w:sz w:val="28"/>
          <w:szCs w:val="28"/>
        </w:rPr>
        <w:t>十、课程保障</w:t>
      </w:r>
    </w:p>
    <w:p>
      <w:pPr>
        <w:widowControl/>
        <w:shd w:val="clear" w:color="auto" w:fill="FFFFFF"/>
        <w:spacing w:line="500" w:lineRule="exact"/>
        <w:ind w:firstLine="560"/>
        <w:jc w:val="left"/>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学校鼓励就业创业指导课程教师走专职化发展，按照“按岗申报、按岗评聘”原则，在专业技术职务评聘中充分考虑就业创业指导教师的工作性质、工作业绩，在安排职称评聘名额时，创造条件予以适当倾斜。就业创业指导课的任课教师与其他专业教师一样享受学校教学人员的相应待遇，教学、科研、实践工作量及年终考核、职称评定等均按照学校有关规定执行。</w:t>
      </w:r>
    </w:p>
    <w:p>
      <w:pPr>
        <w:spacing w:line="500" w:lineRule="exact"/>
        <w:ind w:firstLine="560" w:firstLineChars="200"/>
        <w:rPr>
          <w:rFonts w:ascii="仿宋_GB2312" w:hAnsi="Verdana" w:eastAsia="仿宋_GB2312" w:cs="宋体"/>
          <w:color w:val="666666"/>
          <w:kern w:val="0"/>
          <w:sz w:val="28"/>
          <w:szCs w:val="28"/>
        </w:rPr>
      </w:pPr>
    </w:p>
    <w:p>
      <w:pPr>
        <w:widowControl/>
        <w:spacing w:line="500" w:lineRule="atLeast"/>
        <w:ind w:firstLine="5880" w:firstLineChars="2100"/>
        <w:jc w:val="left"/>
        <w:rPr>
          <w:rFonts w:ascii="仿宋_GB2312" w:hAnsi="Verdana" w:eastAsia="仿宋_GB2312" w:cs="宋体"/>
          <w:color w:val="666666"/>
          <w:kern w:val="0"/>
          <w:sz w:val="28"/>
          <w:szCs w:val="28"/>
        </w:rPr>
      </w:pPr>
    </w:p>
    <w:p>
      <w:pPr>
        <w:widowControl/>
        <w:spacing w:line="500" w:lineRule="atLeast"/>
        <w:ind w:firstLine="5880" w:firstLineChars="2100"/>
        <w:jc w:val="left"/>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创新创业学院</w:t>
      </w:r>
    </w:p>
    <w:p>
      <w:pPr>
        <w:widowControl/>
        <w:spacing w:line="500" w:lineRule="atLeast"/>
        <w:ind w:firstLine="6160" w:firstLineChars="2200"/>
        <w:jc w:val="left"/>
        <w:rPr>
          <w:rFonts w:ascii="仿宋_GB2312" w:hAnsi="Verdana" w:eastAsia="仿宋_GB2312" w:cs="宋体"/>
          <w:color w:val="666666"/>
          <w:kern w:val="0"/>
          <w:sz w:val="28"/>
          <w:szCs w:val="28"/>
        </w:rPr>
      </w:pPr>
      <w:r>
        <w:rPr>
          <w:rFonts w:hint="eastAsia" w:ascii="仿宋_GB2312" w:hAnsi="Verdana" w:eastAsia="仿宋_GB2312" w:cs="宋体"/>
          <w:color w:val="666666"/>
          <w:kern w:val="0"/>
          <w:sz w:val="28"/>
          <w:szCs w:val="28"/>
        </w:rPr>
        <w:t>2018.04</w:t>
      </w:r>
    </w:p>
    <w:p>
      <w:pPr>
        <w:widowControl/>
        <w:adjustRightInd w:val="0"/>
        <w:snapToGrid w:val="0"/>
        <w:spacing w:line="500" w:lineRule="exact"/>
        <w:ind w:firstLine="539"/>
        <w:jc w:val="left"/>
        <w:rPr>
          <w:rFonts w:ascii="仿宋_GB2312" w:hAnsi="Verdana" w:eastAsia="仿宋_GB2312" w:cs="宋体"/>
          <w:color w:val="666666"/>
          <w:kern w:val="0"/>
          <w:sz w:val="28"/>
          <w:szCs w:val="28"/>
        </w:rPr>
      </w:pPr>
    </w:p>
    <w:p>
      <w:pPr>
        <w:widowControl/>
        <w:adjustRightInd w:val="0"/>
        <w:snapToGrid w:val="0"/>
        <w:spacing w:line="500" w:lineRule="exact"/>
        <w:ind w:firstLine="539"/>
        <w:jc w:val="left"/>
        <w:rPr>
          <w:rFonts w:ascii="仿宋_GB2312" w:hAnsi="Verdana" w:eastAsia="仿宋_GB2312" w:cs="宋体"/>
          <w:color w:val="666666"/>
          <w:kern w:val="0"/>
          <w:sz w:val="28"/>
          <w:szCs w:val="28"/>
        </w:rPr>
      </w:pPr>
    </w:p>
    <w:p>
      <w:pPr>
        <w:widowControl/>
        <w:adjustRightInd w:val="0"/>
        <w:snapToGrid w:val="0"/>
        <w:spacing w:line="500" w:lineRule="exact"/>
        <w:ind w:firstLine="539"/>
        <w:jc w:val="left"/>
        <w:rPr>
          <w:rFonts w:ascii="仿宋_GB2312" w:hAnsi="Verdana" w:eastAsia="仿宋_GB2312" w:cs="宋体"/>
          <w:color w:val="666666"/>
          <w:kern w:val="0"/>
          <w:sz w:val="28"/>
          <w:szCs w:val="28"/>
        </w:rPr>
      </w:pPr>
    </w:p>
    <w:p>
      <w:pPr>
        <w:widowControl/>
        <w:adjustRightInd w:val="0"/>
        <w:snapToGrid w:val="0"/>
        <w:spacing w:line="500" w:lineRule="exact"/>
        <w:ind w:firstLine="539"/>
        <w:jc w:val="left"/>
        <w:rPr>
          <w:rFonts w:ascii="仿宋_GB2312" w:hAnsi="Verdana" w:eastAsia="仿宋_GB2312" w:cs="宋体"/>
          <w:color w:val="666666"/>
          <w:kern w:val="0"/>
          <w:sz w:val="28"/>
          <w:szCs w:val="28"/>
        </w:rPr>
      </w:pPr>
    </w:p>
    <w:p>
      <w:pPr>
        <w:widowControl/>
        <w:adjustRightInd w:val="0"/>
        <w:snapToGrid w:val="0"/>
        <w:spacing w:line="500" w:lineRule="exact"/>
        <w:ind w:firstLine="539"/>
        <w:jc w:val="left"/>
        <w:rPr>
          <w:rFonts w:ascii="仿宋_GB2312" w:hAnsi="Verdana" w:eastAsia="仿宋_GB2312" w:cs="宋体"/>
          <w:color w:val="666666"/>
          <w:kern w:val="0"/>
          <w:sz w:val="28"/>
          <w:szCs w:val="28"/>
        </w:rPr>
      </w:pPr>
    </w:p>
    <w:p>
      <w:pPr>
        <w:widowControl/>
        <w:adjustRightInd w:val="0"/>
        <w:snapToGrid w:val="0"/>
        <w:spacing w:line="500" w:lineRule="exact"/>
        <w:ind w:firstLine="539"/>
        <w:jc w:val="left"/>
        <w:rPr>
          <w:rFonts w:ascii="仿宋_GB2312" w:hAnsi="Verdana" w:eastAsia="仿宋_GB2312" w:cs="宋体"/>
          <w:color w:val="666666"/>
          <w:kern w:val="0"/>
          <w:sz w:val="28"/>
          <w:szCs w:val="28"/>
        </w:rPr>
      </w:pPr>
    </w:p>
    <w:p>
      <w:pPr>
        <w:widowControl/>
        <w:adjustRightInd w:val="0"/>
        <w:snapToGrid w:val="0"/>
        <w:spacing w:line="500" w:lineRule="exact"/>
        <w:ind w:firstLine="539"/>
        <w:jc w:val="left"/>
        <w:rPr>
          <w:rFonts w:ascii="仿宋_GB2312" w:hAnsi="Verdana" w:eastAsia="仿宋_GB2312" w:cs="宋体"/>
          <w:color w:val="666666"/>
          <w:kern w:val="0"/>
          <w:sz w:val="28"/>
          <w:szCs w:val="28"/>
        </w:rPr>
      </w:pPr>
    </w:p>
    <w:p>
      <w:pPr>
        <w:widowControl/>
        <w:adjustRightInd w:val="0"/>
        <w:snapToGrid w:val="0"/>
        <w:spacing w:line="500" w:lineRule="exact"/>
        <w:ind w:firstLine="539"/>
        <w:jc w:val="left"/>
        <w:rPr>
          <w:rFonts w:ascii="仿宋_GB2312" w:hAnsi="Verdana" w:eastAsia="仿宋_GB2312" w:cs="宋体"/>
          <w:color w:val="666666"/>
          <w:kern w:val="0"/>
          <w:sz w:val="28"/>
          <w:szCs w:val="28"/>
        </w:rPr>
      </w:pPr>
    </w:p>
    <w:p>
      <w:pPr>
        <w:widowControl/>
        <w:adjustRightInd w:val="0"/>
        <w:snapToGrid w:val="0"/>
        <w:spacing w:line="500" w:lineRule="exact"/>
        <w:jc w:val="left"/>
        <w:rPr>
          <w:rFonts w:ascii="仿宋_GB2312" w:hAnsi="Verdana" w:eastAsia="仿宋_GB2312" w:cs="宋体"/>
          <w:color w:val="666666"/>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6529F"/>
    <w:rsid w:val="00017592"/>
    <w:rsid w:val="00021A84"/>
    <w:rsid w:val="0002458A"/>
    <w:rsid w:val="00030C2F"/>
    <w:rsid w:val="00032370"/>
    <w:rsid w:val="00032A34"/>
    <w:rsid w:val="0004149D"/>
    <w:rsid w:val="00043EAD"/>
    <w:rsid w:val="00045CFD"/>
    <w:rsid w:val="000959C0"/>
    <w:rsid w:val="000A519B"/>
    <w:rsid w:val="000A697D"/>
    <w:rsid w:val="000B2D46"/>
    <w:rsid w:val="000C0698"/>
    <w:rsid w:val="000D54B6"/>
    <w:rsid w:val="000E0A55"/>
    <w:rsid w:val="0010311A"/>
    <w:rsid w:val="00133D03"/>
    <w:rsid w:val="0013426D"/>
    <w:rsid w:val="00142442"/>
    <w:rsid w:val="00147E73"/>
    <w:rsid w:val="00184FC9"/>
    <w:rsid w:val="00193123"/>
    <w:rsid w:val="001A3EE1"/>
    <w:rsid w:val="001A5261"/>
    <w:rsid w:val="001B1118"/>
    <w:rsid w:val="001C192C"/>
    <w:rsid w:val="001E323B"/>
    <w:rsid w:val="00223146"/>
    <w:rsid w:val="00256DB7"/>
    <w:rsid w:val="0026301F"/>
    <w:rsid w:val="002660BF"/>
    <w:rsid w:val="002701B5"/>
    <w:rsid w:val="00283A6D"/>
    <w:rsid w:val="002855ED"/>
    <w:rsid w:val="00286422"/>
    <w:rsid w:val="00293669"/>
    <w:rsid w:val="002C4C8F"/>
    <w:rsid w:val="002C54B0"/>
    <w:rsid w:val="002D6B08"/>
    <w:rsid w:val="003034CC"/>
    <w:rsid w:val="00327D49"/>
    <w:rsid w:val="0033140C"/>
    <w:rsid w:val="00344A16"/>
    <w:rsid w:val="003476C1"/>
    <w:rsid w:val="00350157"/>
    <w:rsid w:val="00357431"/>
    <w:rsid w:val="00364DBA"/>
    <w:rsid w:val="00366D26"/>
    <w:rsid w:val="003776B1"/>
    <w:rsid w:val="0038327D"/>
    <w:rsid w:val="0039256E"/>
    <w:rsid w:val="003A1F80"/>
    <w:rsid w:val="003B5AB4"/>
    <w:rsid w:val="003B70E4"/>
    <w:rsid w:val="003C05CC"/>
    <w:rsid w:val="003D4189"/>
    <w:rsid w:val="003F5519"/>
    <w:rsid w:val="00402F28"/>
    <w:rsid w:val="004045B9"/>
    <w:rsid w:val="00426D63"/>
    <w:rsid w:val="0043410C"/>
    <w:rsid w:val="004542FC"/>
    <w:rsid w:val="0047269B"/>
    <w:rsid w:val="00472A50"/>
    <w:rsid w:val="004764FD"/>
    <w:rsid w:val="00482163"/>
    <w:rsid w:val="004872AD"/>
    <w:rsid w:val="00487592"/>
    <w:rsid w:val="004B528D"/>
    <w:rsid w:val="004C0465"/>
    <w:rsid w:val="004E15AC"/>
    <w:rsid w:val="004F253F"/>
    <w:rsid w:val="00512231"/>
    <w:rsid w:val="00515678"/>
    <w:rsid w:val="00517F4F"/>
    <w:rsid w:val="00523C20"/>
    <w:rsid w:val="00535BEA"/>
    <w:rsid w:val="00563CF6"/>
    <w:rsid w:val="0057044D"/>
    <w:rsid w:val="00571B03"/>
    <w:rsid w:val="00586263"/>
    <w:rsid w:val="005B1B62"/>
    <w:rsid w:val="005B43F2"/>
    <w:rsid w:val="005C0D60"/>
    <w:rsid w:val="005D035E"/>
    <w:rsid w:val="005F1932"/>
    <w:rsid w:val="005F312C"/>
    <w:rsid w:val="0060778E"/>
    <w:rsid w:val="00615D73"/>
    <w:rsid w:val="006169D7"/>
    <w:rsid w:val="006261ED"/>
    <w:rsid w:val="00641CD6"/>
    <w:rsid w:val="0064382F"/>
    <w:rsid w:val="00650A6B"/>
    <w:rsid w:val="00653C74"/>
    <w:rsid w:val="0066529F"/>
    <w:rsid w:val="00670C61"/>
    <w:rsid w:val="00685525"/>
    <w:rsid w:val="00685F52"/>
    <w:rsid w:val="00690E65"/>
    <w:rsid w:val="00694395"/>
    <w:rsid w:val="006A008F"/>
    <w:rsid w:val="006A6039"/>
    <w:rsid w:val="006B33A1"/>
    <w:rsid w:val="006B3F3E"/>
    <w:rsid w:val="006D1DE5"/>
    <w:rsid w:val="006F5BAB"/>
    <w:rsid w:val="006F6F04"/>
    <w:rsid w:val="00716AE0"/>
    <w:rsid w:val="00740957"/>
    <w:rsid w:val="00744C48"/>
    <w:rsid w:val="00765282"/>
    <w:rsid w:val="00794DB2"/>
    <w:rsid w:val="007B040A"/>
    <w:rsid w:val="007D6BA1"/>
    <w:rsid w:val="007D76D0"/>
    <w:rsid w:val="007E0191"/>
    <w:rsid w:val="007E143A"/>
    <w:rsid w:val="00800B85"/>
    <w:rsid w:val="00807D44"/>
    <w:rsid w:val="00811AA8"/>
    <w:rsid w:val="0082367E"/>
    <w:rsid w:val="00832979"/>
    <w:rsid w:val="0083518F"/>
    <w:rsid w:val="008373AD"/>
    <w:rsid w:val="00841221"/>
    <w:rsid w:val="008510E9"/>
    <w:rsid w:val="008529F4"/>
    <w:rsid w:val="00853B5A"/>
    <w:rsid w:val="00860CF7"/>
    <w:rsid w:val="00874524"/>
    <w:rsid w:val="00887937"/>
    <w:rsid w:val="008A644B"/>
    <w:rsid w:val="008B21EE"/>
    <w:rsid w:val="008D11C3"/>
    <w:rsid w:val="008D37BE"/>
    <w:rsid w:val="008E3B31"/>
    <w:rsid w:val="008F6600"/>
    <w:rsid w:val="00902306"/>
    <w:rsid w:val="00911811"/>
    <w:rsid w:val="00916A19"/>
    <w:rsid w:val="00927C92"/>
    <w:rsid w:val="00945A75"/>
    <w:rsid w:val="0095164B"/>
    <w:rsid w:val="00970544"/>
    <w:rsid w:val="009A7ED1"/>
    <w:rsid w:val="009C3D82"/>
    <w:rsid w:val="009D0644"/>
    <w:rsid w:val="009D1525"/>
    <w:rsid w:val="009D49E8"/>
    <w:rsid w:val="009D6F2E"/>
    <w:rsid w:val="009E0743"/>
    <w:rsid w:val="009E0944"/>
    <w:rsid w:val="009E3CA8"/>
    <w:rsid w:val="00A11365"/>
    <w:rsid w:val="00A15F32"/>
    <w:rsid w:val="00A167C9"/>
    <w:rsid w:val="00A458FB"/>
    <w:rsid w:val="00A60810"/>
    <w:rsid w:val="00A63F62"/>
    <w:rsid w:val="00A67409"/>
    <w:rsid w:val="00A76060"/>
    <w:rsid w:val="00A766C2"/>
    <w:rsid w:val="00A9720E"/>
    <w:rsid w:val="00A97936"/>
    <w:rsid w:val="00B21374"/>
    <w:rsid w:val="00B45FD0"/>
    <w:rsid w:val="00B659C6"/>
    <w:rsid w:val="00B731FA"/>
    <w:rsid w:val="00BA4D23"/>
    <w:rsid w:val="00BC5D85"/>
    <w:rsid w:val="00BE1ABE"/>
    <w:rsid w:val="00BE3519"/>
    <w:rsid w:val="00BE6C2E"/>
    <w:rsid w:val="00C07BBD"/>
    <w:rsid w:val="00C1502E"/>
    <w:rsid w:val="00C220F7"/>
    <w:rsid w:val="00C42FD5"/>
    <w:rsid w:val="00C43A5F"/>
    <w:rsid w:val="00C4448E"/>
    <w:rsid w:val="00C73BFF"/>
    <w:rsid w:val="00C752DB"/>
    <w:rsid w:val="00C81055"/>
    <w:rsid w:val="00C8112C"/>
    <w:rsid w:val="00C851B9"/>
    <w:rsid w:val="00C87203"/>
    <w:rsid w:val="00CA6F8C"/>
    <w:rsid w:val="00CB2F78"/>
    <w:rsid w:val="00CD5614"/>
    <w:rsid w:val="00CD75AB"/>
    <w:rsid w:val="00CE07D6"/>
    <w:rsid w:val="00CE1198"/>
    <w:rsid w:val="00CE3716"/>
    <w:rsid w:val="00CE768B"/>
    <w:rsid w:val="00CE7E00"/>
    <w:rsid w:val="00CF1395"/>
    <w:rsid w:val="00D06DE5"/>
    <w:rsid w:val="00D071CB"/>
    <w:rsid w:val="00D106F8"/>
    <w:rsid w:val="00D30CE1"/>
    <w:rsid w:val="00D45E18"/>
    <w:rsid w:val="00D66A72"/>
    <w:rsid w:val="00D74484"/>
    <w:rsid w:val="00D8154C"/>
    <w:rsid w:val="00D81D21"/>
    <w:rsid w:val="00D90364"/>
    <w:rsid w:val="00DA1440"/>
    <w:rsid w:val="00DA1B3E"/>
    <w:rsid w:val="00DA3F2D"/>
    <w:rsid w:val="00DA692F"/>
    <w:rsid w:val="00DB3940"/>
    <w:rsid w:val="00DB682D"/>
    <w:rsid w:val="00DC5B28"/>
    <w:rsid w:val="00DD0B2A"/>
    <w:rsid w:val="00DD53C3"/>
    <w:rsid w:val="00DF1219"/>
    <w:rsid w:val="00E00322"/>
    <w:rsid w:val="00E05465"/>
    <w:rsid w:val="00E137BC"/>
    <w:rsid w:val="00E357D8"/>
    <w:rsid w:val="00E47718"/>
    <w:rsid w:val="00E56962"/>
    <w:rsid w:val="00E5714C"/>
    <w:rsid w:val="00E65B7D"/>
    <w:rsid w:val="00E8342C"/>
    <w:rsid w:val="00E91D68"/>
    <w:rsid w:val="00E93766"/>
    <w:rsid w:val="00E96399"/>
    <w:rsid w:val="00EA762C"/>
    <w:rsid w:val="00EB1376"/>
    <w:rsid w:val="00ED5234"/>
    <w:rsid w:val="00EE3353"/>
    <w:rsid w:val="00EE439A"/>
    <w:rsid w:val="00EE67AF"/>
    <w:rsid w:val="00F12FCE"/>
    <w:rsid w:val="00F22574"/>
    <w:rsid w:val="00F308C0"/>
    <w:rsid w:val="00F31F92"/>
    <w:rsid w:val="00F466B5"/>
    <w:rsid w:val="00F5030D"/>
    <w:rsid w:val="00F71B70"/>
    <w:rsid w:val="00F755FE"/>
    <w:rsid w:val="00F76160"/>
    <w:rsid w:val="00F76F47"/>
    <w:rsid w:val="00F87559"/>
    <w:rsid w:val="00F901E6"/>
    <w:rsid w:val="00F92BA8"/>
    <w:rsid w:val="00FA77F7"/>
    <w:rsid w:val="00FC5BCE"/>
    <w:rsid w:val="00FD4578"/>
    <w:rsid w:val="00FD47E9"/>
    <w:rsid w:val="00FF20ED"/>
    <w:rsid w:val="00FF4F6F"/>
    <w:rsid w:val="066533FE"/>
    <w:rsid w:val="0BAD2EB7"/>
    <w:rsid w:val="0E124706"/>
    <w:rsid w:val="0EC70311"/>
    <w:rsid w:val="0F0D2B98"/>
    <w:rsid w:val="16053EB8"/>
    <w:rsid w:val="168912FC"/>
    <w:rsid w:val="1A191F74"/>
    <w:rsid w:val="1E8C6066"/>
    <w:rsid w:val="1FDF0746"/>
    <w:rsid w:val="28F22238"/>
    <w:rsid w:val="29586DB5"/>
    <w:rsid w:val="29C70E8B"/>
    <w:rsid w:val="2A471EFA"/>
    <w:rsid w:val="2D954A7B"/>
    <w:rsid w:val="31987FD5"/>
    <w:rsid w:val="32201394"/>
    <w:rsid w:val="34160127"/>
    <w:rsid w:val="347B6C25"/>
    <w:rsid w:val="36272658"/>
    <w:rsid w:val="3A9F221A"/>
    <w:rsid w:val="3B0049FC"/>
    <w:rsid w:val="3EB4662C"/>
    <w:rsid w:val="47052B3C"/>
    <w:rsid w:val="47892445"/>
    <w:rsid w:val="483D74EF"/>
    <w:rsid w:val="48FF559A"/>
    <w:rsid w:val="49CB5C92"/>
    <w:rsid w:val="4A1A5724"/>
    <w:rsid w:val="509A0898"/>
    <w:rsid w:val="51F07FD6"/>
    <w:rsid w:val="55906C4A"/>
    <w:rsid w:val="5DB735F9"/>
    <w:rsid w:val="5F823581"/>
    <w:rsid w:val="650F5B13"/>
    <w:rsid w:val="667C106A"/>
    <w:rsid w:val="691E2A6F"/>
    <w:rsid w:val="7C3B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E0A7B-A085-4A23-A382-8676C76F5067}">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917</Words>
  <Characters>5231</Characters>
  <Lines>43</Lines>
  <Paragraphs>12</Paragraphs>
  <ScaleCrop>false</ScaleCrop>
  <LinksUpToDate>false</LinksUpToDate>
  <CharactersWithSpaces>6136</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2016-11-05T03:52:00Z</dcterms:created>
  <dc:creator>hp</dc:creator>
  <cp:lastModifiedBy>海阔天空</cp:lastModifiedBy>
  <cp:lastPrinted>2018-04-03T03:11:00Z</cp:lastPrinted>
  <dcterms:modified xsi:type="dcterms:W3CDTF">2018-04-03T03:19:13Z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