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附件：3</w:t>
      </w:r>
    </w:p>
    <w:p>
      <w:pPr>
        <w:jc w:val="center"/>
        <w:rPr>
          <w:rFonts w:ascii="微软雅黑" w:hAnsi="微软雅黑" w:eastAsia="微软雅黑" w:cs="宋体"/>
          <w:color w:val="333333"/>
          <w:kern w:val="0"/>
          <w:sz w:val="30"/>
          <w:szCs w:val="30"/>
        </w:rPr>
      </w:pPr>
      <w:r>
        <w:rPr>
          <w:rFonts w:hint="eastAsia" w:ascii="微软雅黑" w:hAnsi="微软雅黑" w:eastAsia="微软雅黑" w:cs="宋体"/>
          <w:color w:val="333333"/>
          <w:kern w:val="0"/>
          <w:sz w:val="30"/>
          <w:szCs w:val="30"/>
        </w:rPr>
        <w:t>创新创业学院《大学生就业创业指导》课程介绍</w:t>
      </w:r>
    </w:p>
    <w:p>
      <w:pPr>
        <w:spacing w:line="500" w:lineRule="exact"/>
        <w:ind w:firstLine="562" w:firstLineChars="200"/>
        <w:rPr>
          <w:rFonts w:ascii="黑体" w:hAnsi="黑体" w:eastAsia="黑体" w:cs="宋体"/>
          <w:b/>
          <w:color w:val="666666"/>
          <w:kern w:val="0"/>
          <w:sz w:val="28"/>
          <w:szCs w:val="28"/>
        </w:rPr>
      </w:pPr>
      <w:r>
        <w:rPr>
          <w:rFonts w:ascii="黑体" w:hAnsi="黑体" w:eastAsia="黑体" w:cs="宋体"/>
          <w:b/>
          <w:color w:val="666666"/>
          <w:kern w:val="0"/>
          <w:sz w:val="28"/>
          <w:szCs w:val="28"/>
        </w:rPr>
        <w:t>一</w:t>
      </w:r>
      <w:r>
        <w:rPr>
          <w:rFonts w:hint="eastAsia" w:ascii="黑体" w:hAnsi="黑体" w:eastAsia="黑体" w:cs="宋体"/>
          <w:b/>
          <w:color w:val="666666"/>
          <w:kern w:val="0"/>
          <w:sz w:val="28"/>
          <w:szCs w:val="28"/>
        </w:rPr>
        <w:t>、课程性质</w:t>
      </w:r>
    </w:p>
    <w:p>
      <w:pPr>
        <w:spacing w:line="500" w:lineRule="exact"/>
        <w:ind w:firstLine="560" w:firstLineChars="200"/>
        <w:rPr>
          <w:rFonts w:ascii="仿宋_GB2312" w:hAnsi="Verdana" w:eastAsia="仿宋_GB2312" w:cs="宋体"/>
          <w:color w:val="666666"/>
          <w:kern w:val="0"/>
          <w:sz w:val="28"/>
          <w:szCs w:val="28"/>
        </w:rPr>
      </w:pPr>
      <w:r>
        <w:rPr>
          <w:rFonts w:hint="eastAsia" w:ascii="仿宋_GB2312" w:hAnsi="Verdana" w:eastAsia="仿宋_GB2312" w:cs="宋体"/>
          <w:color w:val="666666"/>
          <w:kern w:val="0"/>
          <w:sz w:val="28"/>
          <w:szCs w:val="28"/>
        </w:rPr>
        <w:t>《大学生就业创业指导》</w:t>
      </w:r>
      <w:r>
        <w:rPr>
          <w:rFonts w:hint="eastAsia" w:ascii="仿宋_GB2312" w:hAnsi="Verdana" w:eastAsia="仿宋_GB2312" w:cs="宋体"/>
          <w:color w:val="666666"/>
          <w:kern w:val="0"/>
          <w:sz w:val="28"/>
          <w:szCs w:val="28"/>
          <w:lang w:eastAsia="zh-CN"/>
        </w:rPr>
        <w:t>课程</w:t>
      </w:r>
      <w:r>
        <w:rPr>
          <w:rFonts w:hint="eastAsia" w:ascii="仿宋_GB2312" w:hAnsi="Verdana" w:eastAsia="仿宋_GB2312" w:cs="宋体"/>
          <w:color w:val="666666"/>
          <w:kern w:val="0"/>
          <w:sz w:val="28"/>
          <w:szCs w:val="28"/>
        </w:rPr>
        <w:t>为我校素质教育课，按照教育部的要求该课程课将作为必修课列入</w:t>
      </w:r>
      <w:r>
        <w:rPr>
          <w:rFonts w:hint="eastAsia" w:ascii="仿宋_GB2312" w:hAnsi="Verdana" w:eastAsia="仿宋_GB2312" w:cs="宋体"/>
          <w:color w:val="666666"/>
          <w:kern w:val="0"/>
          <w:sz w:val="28"/>
          <w:szCs w:val="28"/>
          <w:lang w:eastAsia="zh-CN"/>
        </w:rPr>
        <w:t>学校</w:t>
      </w:r>
      <w:r>
        <w:rPr>
          <w:rFonts w:hint="eastAsia" w:ascii="仿宋_GB2312" w:hAnsi="Verdana" w:eastAsia="仿宋_GB2312" w:cs="宋体"/>
          <w:color w:val="666666"/>
          <w:kern w:val="0"/>
          <w:sz w:val="28"/>
          <w:szCs w:val="28"/>
        </w:rPr>
        <w:t>人才培养方案和教学计划。课程既强调职业在人生发展中的重要地位，又关注学生的全面发展和终身发展，贯穿大学教育全过程。通过激发大学生职业生涯发展的自主意识，树立正确的就业观、择业观、创业观，促使大学生理性地规划自身未来的发展，并在学习过程中自觉地提高生涯管理能力、创新创业能力和求职择业能力。</w:t>
      </w:r>
    </w:p>
    <w:p>
      <w:pPr>
        <w:spacing w:line="500" w:lineRule="exact"/>
        <w:ind w:firstLine="562" w:firstLineChars="200"/>
        <w:rPr>
          <w:rFonts w:ascii="黑体" w:hAnsi="黑体" w:eastAsia="黑体" w:cs="宋体"/>
          <w:b/>
          <w:color w:val="666666"/>
          <w:kern w:val="0"/>
          <w:sz w:val="28"/>
          <w:szCs w:val="28"/>
        </w:rPr>
      </w:pPr>
      <w:r>
        <w:rPr>
          <w:rFonts w:hint="eastAsia" w:ascii="黑体" w:hAnsi="黑体" w:eastAsia="黑体" w:cs="宋体"/>
          <w:b/>
          <w:color w:val="666666"/>
          <w:kern w:val="0"/>
          <w:sz w:val="28"/>
          <w:szCs w:val="28"/>
        </w:rPr>
        <w:t>二、课程目标</w:t>
      </w:r>
    </w:p>
    <w:p>
      <w:pPr>
        <w:spacing w:line="500" w:lineRule="exact"/>
        <w:ind w:firstLine="560" w:firstLineChars="200"/>
        <w:rPr>
          <w:rFonts w:ascii="仿宋_GB2312" w:hAnsi="Verdana" w:eastAsia="仿宋_GB2312" w:cs="宋体"/>
          <w:color w:val="666666"/>
          <w:kern w:val="0"/>
          <w:sz w:val="28"/>
          <w:szCs w:val="28"/>
        </w:rPr>
      </w:pPr>
      <w:r>
        <w:rPr>
          <w:rFonts w:hint="eastAsia" w:ascii="仿宋_GB2312" w:hAnsi="Verdana" w:eastAsia="仿宋_GB2312" w:cs="宋体"/>
          <w:color w:val="666666"/>
          <w:kern w:val="0"/>
          <w:sz w:val="28"/>
          <w:szCs w:val="28"/>
        </w:rPr>
        <w:t>通过课程教学，大学生应当在态度、知识和技能三个层面均达到以下目标。</w:t>
      </w:r>
    </w:p>
    <w:p>
      <w:pPr>
        <w:spacing w:line="500" w:lineRule="exact"/>
        <w:ind w:firstLine="560" w:firstLineChars="200"/>
        <w:rPr>
          <w:rFonts w:ascii="仿宋_GB2312" w:hAnsi="Verdana" w:eastAsia="仿宋_GB2312" w:cs="宋体"/>
          <w:color w:val="666666"/>
          <w:kern w:val="0"/>
          <w:sz w:val="28"/>
          <w:szCs w:val="28"/>
        </w:rPr>
      </w:pPr>
      <w:r>
        <w:rPr>
          <w:rFonts w:hint="eastAsia" w:ascii="仿宋_GB2312" w:hAnsi="Verdana" w:eastAsia="仿宋_GB2312" w:cs="宋体"/>
          <w:color w:val="666666"/>
          <w:kern w:val="0"/>
          <w:sz w:val="28"/>
          <w:szCs w:val="28"/>
        </w:rPr>
        <w:t>态度层面：通过本课程的教学，大学生应当树立起职业生涯发展的自主意识，树立积极正确的人生观、价值观和职业观念，把个人发展和国家需要、社会发展相结合，确立职业的概念和意识，愿意为个人的生涯发展和社会发展主动付出积极的努力。</w:t>
      </w:r>
    </w:p>
    <w:p>
      <w:pPr>
        <w:spacing w:line="500" w:lineRule="exact"/>
        <w:ind w:firstLine="560" w:firstLineChars="200"/>
        <w:rPr>
          <w:rFonts w:ascii="仿宋_GB2312" w:hAnsi="Verdana" w:eastAsia="仿宋_GB2312" w:cs="宋体"/>
          <w:color w:val="666666"/>
          <w:kern w:val="0"/>
          <w:sz w:val="28"/>
          <w:szCs w:val="28"/>
        </w:rPr>
      </w:pPr>
      <w:r>
        <w:rPr>
          <w:rFonts w:hint="eastAsia" w:ascii="仿宋_GB2312" w:hAnsi="Verdana" w:eastAsia="仿宋_GB2312" w:cs="宋体"/>
          <w:color w:val="666666"/>
          <w:kern w:val="0"/>
          <w:sz w:val="28"/>
          <w:szCs w:val="28"/>
        </w:rPr>
        <w:t>知识层面：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spacing w:line="500" w:lineRule="exact"/>
        <w:ind w:firstLine="560" w:firstLineChars="200"/>
        <w:rPr>
          <w:rFonts w:ascii="仿宋_GB2312" w:hAnsi="Verdana" w:eastAsia="仿宋_GB2312" w:cs="宋体"/>
          <w:color w:val="666666"/>
          <w:kern w:val="0"/>
          <w:sz w:val="28"/>
          <w:szCs w:val="28"/>
        </w:rPr>
      </w:pPr>
      <w:r>
        <w:rPr>
          <w:rFonts w:hint="eastAsia" w:ascii="仿宋_GB2312" w:hAnsi="Verdana" w:eastAsia="仿宋_GB2312" w:cs="宋体"/>
          <w:color w:val="666666"/>
          <w:kern w:val="0"/>
          <w:sz w:val="28"/>
          <w:szCs w:val="28"/>
        </w:rPr>
        <w:t xml:space="preserve">技能层面：通过本课程的教学，大学生应当掌握自我探索技能、信息搜索与管理技能、生涯决策技能、求职技能等，还应该通过课程提高学生的各种通用技能，比如沟通技能、问题解决技能、自我管理技能和人际交往技能等。 </w:t>
      </w:r>
    </w:p>
    <w:p>
      <w:pPr>
        <w:spacing w:line="500" w:lineRule="exact"/>
        <w:ind w:firstLine="562" w:firstLineChars="200"/>
        <w:rPr>
          <w:rFonts w:ascii="黑体" w:hAnsi="黑体" w:eastAsia="黑体" w:cs="宋体"/>
          <w:b/>
          <w:color w:val="666666"/>
          <w:kern w:val="0"/>
          <w:sz w:val="28"/>
          <w:szCs w:val="28"/>
        </w:rPr>
      </w:pPr>
      <w:r>
        <w:rPr>
          <w:rFonts w:hint="eastAsia" w:ascii="黑体" w:hAnsi="黑体" w:eastAsia="黑体" w:cs="宋体"/>
          <w:b/>
          <w:color w:val="666666"/>
          <w:kern w:val="0"/>
          <w:sz w:val="28"/>
          <w:szCs w:val="28"/>
        </w:rPr>
        <w:t>三、课程结构</w:t>
      </w:r>
    </w:p>
    <w:p>
      <w:pPr>
        <w:spacing w:line="500" w:lineRule="exact"/>
        <w:ind w:firstLine="560" w:firstLineChars="200"/>
        <w:rPr>
          <w:rFonts w:ascii="仿宋_GB2312" w:hAnsi="Verdana" w:eastAsia="仿宋_GB2312" w:cs="宋体"/>
          <w:color w:val="666666"/>
          <w:kern w:val="0"/>
          <w:sz w:val="28"/>
          <w:szCs w:val="28"/>
        </w:rPr>
      </w:pPr>
      <w:r>
        <w:rPr>
          <w:rFonts w:hint="eastAsia" w:ascii="仿宋_GB2312" w:hAnsi="Verdana" w:eastAsia="仿宋_GB2312" w:cs="宋体"/>
          <w:color w:val="666666"/>
          <w:kern w:val="0"/>
          <w:sz w:val="28"/>
          <w:szCs w:val="28"/>
        </w:rPr>
        <w:t>根据学校应用技术大学人才培养定位，结合课程性质和教学实际</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本课程作为通识基础必修课共计</w:t>
      </w:r>
      <w:r>
        <w:rPr>
          <w:rFonts w:hint="eastAsia" w:ascii="仿宋_GB2312" w:hAnsi="Verdana" w:eastAsia="仿宋_GB2312" w:cs="宋体"/>
          <w:color w:val="666666"/>
          <w:kern w:val="0"/>
          <w:sz w:val="28"/>
          <w:szCs w:val="28"/>
          <w:lang w:val="en-US" w:eastAsia="zh-CN"/>
        </w:rPr>
        <w:t>74学时，</w:t>
      </w:r>
      <w:r>
        <w:rPr>
          <w:rFonts w:hint="eastAsia" w:ascii="仿宋_GB2312" w:hAnsi="Verdana" w:eastAsia="仿宋_GB2312" w:cs="宋体"/>
          <w:color w:val="666666"/>
          <w:kern w:val="0"/>
          <w:sz w:val="28"/>
          <w:szCs w:val="28"/>
        </w:rPr>
        <w:t>4学分，具体课程名称、学分、学时、开课学期如下表：</w:t>
      </w: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741"/>
        <w:gridCol w:w="3392"/>
        <w:gridCol w:w="708"/>
        <w:gridCol w:w="709"/>
        <w:gridCol w:w="70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795" w:type="dxa"/>
            <w:vAlign w:val="center"/>
          </w:tcPr>
          <w:p>
            <w:pPr>
              <w:jc w:val="center"/>
              <w:rPr>
                <w:rFonts w:ascii="黑体" w:hAnsi="黑体" w:eastAsia="黑体"/>
                <w:color w:val="000000"/>
                <w:szCs w:val="21"/>
              </w:rPr>
            </w:pPr>
            <w:r>
              <w:rPr>
                <w:rFonts w:hint="eastAsia" w:ascii="黑体" w:hAnsi="黑体" w:eastAsia="黑体"/>
                <w:color w:val="000000"/>
                <w:szCs w:val="21"/>
              </w:rPr>
              <w:t>课程类别</w:t>
            </w:r>
          </w:p>
        </w:tc>
        <w:tc>
          <w:tcPr>
            <w:tcW w:w="741" w:type="dxa"/>
            <w:vAlign w:val="center"/>
          </w:tcPr>
          <w:p>
            <w:pPr>
              <w:jc w:val="center"/>
              <w:rPr>
                <w:rFonts w:ascii="黑体" w:hAnsi="黑体" w:eastAsia="黑体"/>
                <w:color w:val="000000"/>
                <w:szCs w:val="21"/>
              </w:rPr>
            </w:pPr>
            <w:r>
              <w:rPr>
                <w:rFonts w:hint="eastAsia" w:ascii="黑体" w:hAnsi="黑体" w:eastAsia="黑体"/>
                <w:color w:val="000000"/>
                <w:szCs w:val="21"/>
              </w:rPr>
              <w:t>课程性质</w:t>
            </w:r>
          </w:p>
        </w:tc>
        <w:tc>
          <w:tcPr>
            <w:tcW w:w="3392" w:type="dxa"/>
            <w:vAlign w:val="center"/>
          </w:tcPr>
          <w:p>
            <w:pPr>
              <w:jc w:val="center"/>
              <w:rPr>
                <w:rFonts w:ascii="黑体" w:hAnsi="黑体" w:eastAsia="黑体"/>
                <w:color w:val="000000"/>
                <w:szCs w:val="21"/>
              </w:rPr>
            </w:pPr>
            <w:r>
              <w:rPr>
                <w:rFonts w:hint="eastAsia" w:ascii="黑体" w:hAnsi="黑体" w:eastAsia="黑体"/>
                <w:color w:val="000000"/>
                <w:szCs w:val="21"/>
              </w:rPr>
              <w:t>课程名称</w:t>
            </w:r>
          </w:p>
        </w:tc>
        <w:tc>
          <w:tcPr>
            <w:tcW w:w="708" w:type="dxa"/>
            <w:vAlign w:val="center"/>
          </w:tcPr>
          <w:p>
            <w:pPr>
              <w:jc w:val="center"/>
              <w:rPr>
                <w:rFonts w:ascii="黑体" w:hAnsi="黑体" w:eastAsia="黑体"/>
                <w:color w:val="000000"/>
                <w:szCs w:val="21"/>
              </w:rPr>
            </w:pPr>
            <w:r>
              <w:rPr>
                <w:rFonts w:hint="eastAsia" w:ascii="黑体" w:hAnsi="黑体" w:eastAsia="黑体"/>
                <w:color w:val="000000"/>
                <w:szCs w:val="21"/>
              </w:rPr>
              <w:t>学分</w:t>
            </w:r>
          </w:p>
        </w:tc>
        <w:tc>
          <w:tcPr>
            <w:tcW w:w="709" w:type="dxa"/>
            <w:vAlign w:val="center"/>
          </w:tcPr>
          <w:p>
            <w:pPr>
              <w:jc w:val="center"/>
              <w:rPr>
                <w:rFonts w:ascii="黑体" w:hAnsi="黑体" w:eastAsia="黑体"/>
                <w:color w:val="000000"/>
                <w:szCs w:val="21"/>
              </w:rPr>
            </w:pPr>
            <w:r>
              <w:rPr>
                <w:rFonts w:hint="eastAsia" w:ascii="黑体" w:hAnsi="黑体" w:eastAsia="黑体"/>
                <w:color w:val="000000"/>
                <w:szCs w:val="21"/>
              </w:rPr>
              <w:t>学时</w:t>
            </w:r>
          </w:p>
        </w:tc>
        <w:tc>
          <w:tcPr>
            <w:tcW w:w="709" w:type="dxa"/>
            <w:vAlign w:val="center"/>
          </w:tcPr>
          <w:p>
            <w:pPr>
              <w:jc w:val="center"/>
              <w:rPr>
                <w:rFonts w:ascii="黑体" w:hAnsi="黑体" w:eastAsia="黑体"/>
                <w:color w:val="000000"/>
                <w:szCs w:val="21"/>
              </w:rPr>
            </w:pPr>
            <w:r>
              <w:rPr>
                <w:rFonts w:hint="eastAsia" w:ascii="黑体" w:hAnsi="黑体" w:eastAsia="黑体"/>
                <w:color w:val="000000"/>
                <w:szCs w:val="21"/>
              </w:rPr>
              <w:t>开课学期</w:t>
            </w:r>
          </w:p>
        </w:tc>
        <w:tc>
          <w:tcPr>
            <w:tcW w:w="1559" w:type="dxa"/>
            <w:vAlign w:val="center"/>
          </w:tcPr>
          <w:p>
            <w:pPr>
              <w:jc w:val="center"/>
              <w:rPr>
                <w:rFonts w:ascii="黑体" w:hAnsi="黑体" w:eastAsia="黑体"/>
                <w:color w:val="000000"/>
                <w:szCs w:val="21"/>
              </w:rPr>
            </w:pPr>
            <w:r>
              <w:rPr>
                <w:rFonts w:hint="eastAsia" w:ascii="黑体" w:hAnsi="黑体" w:eastAsia="黑体"/>
                <w:color w:val="000000"/>
                <w:szCs w:val="21"/>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795" w:type="dxa"/>
            <w:vMerge w:val="restart"/>
            <w:vAlign w:val="center"/>
          </w:tcPr>
          <w:p>
            <w:pPr>
              <w:jc w:val="center"/>
              <w:rPr>
                <w:rFonts w:ascii="黑体" w:hAnsi="黑体" w:eastAsia="黑体"/>
                <w:color w:val="000000"/>
                <w:szCs w:val="21"/>
              </w:rPr>
            </w:pPr>
            <w:r>
              <w:rPr>
                <w:rFonts w:hint="eastAsia" w:ascii="黑体" w:hAnsi="黑体" w:eastAsia="黑体"/>
                <w:color w:val="000000"/>
                <w:szCs w:val="21"/>
              </w:rPr>
              <w:t>通</w:t>
            </w:r>
          </w:p>
          <w:p>
            <w:pPr>
              <w:jc w:val="center"/>
              <w:rPr>
                <w:rFonts w:ascii="黑体" w:hAnsi="黑体" w:eastAsia="黑体"/>
                <w:color w:val="000000"/>
                <w:szCs w:val="21"/>
              </w:rPr>
            </w:pPr>
            <w:r>
              <w:rPr>
                <w:rFonts w:hint="eastAsia" w:ascii="黑体" w:hAnsi="黑体" w:eastAsia="黑体"/>
                <w:color w:val="000000"/>
                <w:szCs w:val="21"/>
              </w:rPr>
              <w:t>识</w:t>
            </w:r>
          </w:p>
          <w:p>
            <w:pPr>
              <w:jc w:val="center"/>
              <w:rPr>
                <w:rFonts w:ascii="黑体" w:hAnsi="黑体" w:eastAsia="黑体"/>
                <w:color w:val="000000"/>
                <w:szCs w:val="21"/>
              </w:rPr>
            </w:pPr>
            <w:r>
              <w:rPr>
                <w:rFonts w:hint="eastAsia" w:ascii="黑体" w:hAnsi="黑体" w:eastAsia="黑体"/>
                <w:color w:val="000000"/>
                <w:szCs w:val="21"/>
              </w:rPr>
              <w:t>基</w:t>
            </w:r>
          </w:p>
          <w:p>
            <w:pPr>
              <w:jc w:val="center"/>
              <w:rPr>
                <w:rFonts w:ascii="黑体" w:hAnsi="黑体" w:eastAsia="黑体"/>
                <w:color w:val="000000"/>
                <w:szCs w:val="21"/>
              </w:rPr>
            </w:pPr>
            <w:r>
              <w:rPr>
                <w:rFonts w:hint="eastAsia" w:ascii="黑体" w:hAnsi="黑体" w:eastAsia="黑体"/>
                <w:color w:val="000000"/>
                <w:szCs w:val="21"/>
              </w:rPr>
              <w:t>础</w:t>
            </w:r>
          </w:p>
        </w:tc>
        <w:tc>
          <w:tcPr>
            <w:tcW w:w="741" w:type="dxa"/>
            <w:vMerge w:val="restart"/>
            <w:vAlign w:val="center"/>
          </w:tcPr>
          <w:p>
            <w:pPr>
              <w:jc w:val="center"/>
              <w:rPr>
                <w:rFonts w:ascii="微软雅黑" w:hAnsi="微软雅黑" w:eastAsia="微软雅黑"/>
                <w:color w:val="000000"/>
                <w:szCs w:val="21"/>
              </w:rPr>
            </w:pPr>
            <w:r>
              <w:rPr>
                <w:rFonts w:hint="eastAsia" w:ascii="微软雅黑" w:hAnsi="微软雅黑" w:eastAsia="微软雅黑"/>
                <w:color w:val="000000"/>
                <w:szCs w:val="21"/>
              </w:rPr>
              <w:t>必修</w:t>
            </w:r>
          </w:p>
        </w:tc>
        <w:tc>
          <w:tcPr>
            <w:tcW w:w="3392" w:type="dxa"/>
            <w:vAlign w:val="center"/>
          </w:tcPr>
          <w:p>
            <w:pPr>
              <w:jc w:val="center"/>
              <w:rPr>
                <w:rFonts w:ascii="黑体" w:hAnsi="黑体" w:eastAsia="黑体"/>
                <w:color w:val="000000"/>
                <w:szCs w:val="21"/>
              </w:rPr>
            </w:pPr>
            <w:r>
              <w:rPr>
                <w:rFonts w:hint="eastAsia" w:ascii="黑体" w:hAnsi="黑体" w:eastAsia="黑体"/>
                <w:color w:val="000000"/>
                <w:szCs w:val="21"/>
              </w:rPr>
              <w:t>大学生职业发展与就业指导（一）</w:t>
            </w:r>
          </w:p>
        </w:tc>
        <w:tc>
          <w:tcPr>
            <w:tcW w:w="708" w:type="dxa"/>
            <w:vAlign w:val="center"/>
          </w:tcPr>
          <w:p>
            <w:pPr>
              <w:jc w:val="center"/>
              <w:rPr>
                <w:rFonts w:ascii="黑体" w:hAnsi="黑体" w:eastAsia="黑体"/>
                <w:color w:val="000000"/>
                <w:szCs w:val="21"/>
              </w:rPr>
            </w:pPr>
            <w:r>
              <w:rPr>
                <w:rFonts w:hint="eastAsia" w:ascii="黑体" w:hAnsi="黑体" w:eastAsia="黑体"/>
                <w:color w:val="000000"/>
                <w:szCs w:val="21"/>
              </w:rPr>
              <w:t>1</w:t>
            </w:r>
          </w:p>
        </w:tc>
        <w:tc>
          <w:tcPr>
            <w:tcW w:w="709" w:type="dxa"/>
            <w:vAlign w:val="center"/>
          </w:tcPr>
          <w:p>
            <w:pPr>
              <w:jc w:val="center"/>
              <w:rPr>
                <w:rFonts w:ascii="黑体" w:hAnsi="黑体" w:eastAsia="黑体"/>
                <w:color w:val="000000"/>
                <w:szCs w:val="21"/>
              </w:rPr>
            </w:pPr>
            <w:r>
              <w:rPr>
                <w:rFonts w:hint="eastAsia" w:ascii="黑体" w:hAnsi="黑体" w:eastAsia="黑体"/>
                <w:color w:val="000000"/>
                <w:szCs w:val="21"/>
              </w:rPr>
              <w:t>1</w:t>
            </w:r>
            <w:r>
              <w:rPr>
                <w:rFonts w:hint="eastAsia" w:ascii="黑体" w:hAnsi="黑体" w:eastAsia="黑体"/>
                <w:color w:val="000000"/>
                <w:szCs w:val="21"/>
                <w:lang w:val="en-US" w:eastAsia="zh-CN"/>
              </w:rPr>
              <w:t>8</w:t>
            </w:r>
          </w:p>
        </w:tc>
        <w:tc>
          <w:tcPr>
            <w:tcW w:w="709" w:type="dxa"/>
            <w:vAlign w:val="center"/>
          </w:tcPr>
          <w:p>
            <w:pPr>
              <w:jc w:val="center"/>
              <w:rPr>
                <w:rFonts w:ascii="黑体" w:hAnsi="黑体" w:eastAsia="黑体"/>
                <w:color w:val="000000"/>
                <w:szCs w:val="21"/>
              </w:rPr>
            </w:pPr>
            <w:r>
              <w:rPr>
                <w:rFonts w:hint="eastAsia" w:ascii="黑体" w:hAnsi="黑体" w:eastAsia="黑体"/>
                <w:color w:val="000000"/>
                <w:szCs w:val="21"/>
              </w:rPr>
              <w:t>1</w:t>
            </w:r>
          </w:p>
        </w:tc>
        <w:tc>
          <w:tcPr>
            <w:tcW w:w="1559" w:type="dxa"/>
            <w:vMerge w:val="restart"/>
            <w:vAlign w:val="center"/>
          </w:tcPr>
          <w:p>
            <w:pPr>
              <w:jc w:val="center"/>
              <w:rPr>
                <w:rFonts w:ascii="黑体" w:hAnsi="黑体" w:eastAsia="黑体"/>
                <w:color w:val="000000"/>
                <w:szCs w:val="21"/>
              </w:rPr>
            </w:pPr>
            <w:r>
              <w:rPr>
                <w:rFonts w:hint="eastAsia" w:ascii="黑体" w:hAnsi="黑体" w:eastAsia="黑体"/>
                <w:color w:val="000000"/>
                <w:szCs w:val="21"/>
              </w:rPr>
              <w:t>创新创业学院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95" w:type="dxa"/>
            <w:vMerge w:val="continue"/>
          </w:tcPr>
          <w:p>
            <w:pPr>
              <w:rPr>
                <w:rFonts w:ascii="黑体" w:hAnsi="黑体" w:eastAsia="黑体"/>
                <w:color w:val="000000"/>
                <w:szCs w:val="21"/>
              </w:rPr>
            </w:pPr>
          </w:p>
        </w:tc>
        <w:tc>
          <w:tcPr>
            <w:tcW w:w="741" w:type="dxa"/>
            <w:vMerge w:val="continue"/>
            <w:vAlign w:val="center"/>
          </w:tcPr>
          <w:p>
            <w:pPr>
              <w:jc w:val="center"/>
              <w:rPr>
                <w:rFonts w:ascii="微软雅黑" w:hAnsi="微软雅黑" w:eastAsia="微软雅黑"/>
                <w:color w:val="000000"/>
                <w:szCs w:val="21"/>
              </w:rPr>
            </w:pPr>
          </w:p>
        </w:tc>
        <w:tc>
          <w:tcPr>
            <w:tcW w:w="3392" w:type="dxa"/>
            <w:vAlign w:val="center"/>
          </w:tcPr>
          <w:p>
            <w:pPr>
              <w:jc w:val="center"/>
              <w:rPr>
                <w:rFonts w:ascii="黑体" w:hAnsi="黑体" w:eastAsia="黑体"/>
                <w:color w:val="000000"/>
                <w:szCs w:val="21"/>
              </w:rPr>
            </w:pPr>
            <w:r>
              <w:rPr>
                <w:rFonts w:hint="eastAsia" w:ascii="黑体" w:hAnsi="黑体" w:eastAsia="黑体"/>
                <w:color w:val="000000"/>
                <w:szCs w:val="21"/>
              </w:rPr>
              <w:t>大学生创业基础</w:t>
            </w:r>
          </w:p>
        </w:tc>
        <w:tc>
          <w:tcPr>
            <w:tcW w:w="708" w:type="dxa"/>
            <w:vAlign w:val="center"/>
          </w:tcPr>
          <w:p>
            <w:pPr>
              <w:jc w:val="center"/>
              <w:rPr>
                <w:rFonts w:ascii="黑体" w:hAnsi="黑体" w:eastAsia="黑体"/>
                <w:color w:val="000000"/>
                <w:szCs w:val="21"/>
              </w:rPr>
            </w:pPr>
            <w:r>
              <w:rPr>
                <w:rFonts w:hint="eastAsia" w:ascii="黑体" w:hAnsi="黑体" w:eastAsia="黑体"/>
                <w:color w:val="000000"/>
                <w:szCs w:val="21"/>
              </w:rPr>
              <w:t>2</w:t>
            </w:r>
          </w:p>
        </w:tc>
        <w:tc>
          <w:tcPr>
            <w:tcW w:w="709" w:type="dxa"/>
            <w:vAlign w:val="center"/>
          </w:tcPr>
          <w:p>
            <w:pPr>
              <w:jc w:val="center"/>
              <w:rPr>
                <w:rFonts w:ascii="黑体" w:hAnsi="黑体" w:eastAsia="黑体"/>
                <w:color w:val="000000"/>
                <w:szCs w:val="21"/>
              </w:rPr>
            </w:pPr>
            <w:r>
              <w:rPr>
                <w:rFonts w:hint="eastAsia" w:ascii="黑体" w:hAnsi="黑体" w:eastAsia="黑体"/>
                <w:color w:val="000000"/>
                <w:szCs w:val="21"/>
              </w:rPr>
              <w:t>3</w:t>
            </w:r>
            <w:r>
              <w:rPr>
                <w:rFonts w:hint="eastAsia" w:ascii="黑体" w:hAnsi="黑体" w:eastAsia="黑体"/>
                <w:color w:val="000000"/>
                <w:szCs w:val="21"/>
                <w:lang w:val="en-US" w:eastAsia="zh-CN"/>
              </w:rPr>
              <w:t>6</w:t>
            </w:r>
            <w:bookmarkStart w:id="0" w:name="_GoBack"/>
            <w:bookmarkEnd w:id="0"/>
          </w:p>
        </w:tc>
        <w:tc>
          <w:tcPr>
            <w:tcW w:w="709" w:type="dxa"/>
            <w:vAlign w:val="center"/>
          </w:tcPr>
          <w:p>
            <w:pPr>
              <w:jc w:val="center"/>
              <w:rPr>
                <w:rFonts w:ascii="黑体" w:hAnsi="黑体" w:eastAsia="黑体"/>
                <w:color w:val="000000"/>
                <w:szCs w:val="21"/>
              </w:rPr>
            </w:pPr>
            <w:r>
              <w:rPr>
                <w:rFonts w:hint="eastAsia" w:ascii="黑体" w:hAnsi="黑体" w:eastAsia="黑体"/>
                <w:color w:val="000000"/>
                <w:szCs w:val="21"/>
              </w:rPr>
              <w:t>2</w:t>
            </w:r>
          </w:p>
        </w:tc>
        <w:tc>
          <w:tcPr>
            <w:tcW w:w="1559" w:type="dxa"/>
            <w:vMerge w:val="continue"/>
            <w:vAlign w:val="center"/>
          </w:tcPr>
          <w:p>
            <w:pPr>
              <w:jc w:val="center"/>
              <w:rPr>
                <w:rFonts w:ascii="黑体" w:hAnsi="黑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795" w:type="dxa"/>
            <w:vMerge w:val="continue"/>
          </w:tcPr>
          <w:p>
            <w:pPr>
              <w:rPr>
                <w:rFonts w:ascii="黑体" w:hAnsi="黑体" w:eastAsia="黑体"/>
                <w:color w:val="000000"/>
                <w:szCs w:val="21"/>
              </w:rPr>
            </w:pPr>
          </w:p>
        </w:tc>
        <w:tc>
          <w:tcPr>
            <w:tcW w:w="741" w:type="dxa"/>
            <w:vMerge w:val="continue"/>
            <w:vAlign w:val="center"/>
          </w:tcPr>
          <w:p>
            <w:pPr>
              <w:jc w:val="center"/>
              <w:rPr>
                <w:rFonts w:ascii="微软雅黑" w:hAnsi="微软雅黑" w:eastAsia="微软雅黑"/>
                <w:color w:val="000000"/>
                <w:szCs w:val="21"/>
              </w:rPr>
            </w:pPr>
          </w:p>
        </w:tc>
        <w:tc>
          <w:tcPr>
            <w:tcW w:w="3392" w:type="dxa"/>
            <w:vAlign w:val="center"/>
          </w:tcPr>
          <w:p>
            <w:pPr>
              <w:jc w:val="center"/>
              <w:rPr>
                <w:rFonts w:ascii="黑体" w:hAnsi="黑体" w:eastAsia="黑体"/>
                <w:color w:val="000000"/>
                <w:szCs w:val="21"/>
              </w:rPr>
            </w:pPr>
            <w:r>
              <w:rPr>
                <w:rFonts w:hint="eastAsia" w:ascii="黑体" w:hAnsi="黑体" w:eastAsia="黑体"/>
                <w:color w:val="000000"/>
                <w:szCs w:val="21"/>
              </w:rPr>
              <w:t>大学生职业发展与就业指导（二）</w:t>
            </w:r>
          </w:p>
        </w:tc>
        <w:tc>
          <w:tcPr>
            <w:tcW w:w="708" w:type="dxa"/>
            <w:vAlign w:val="center"/>
          </w:tcPr>
          <w:p>
            <w:pPr>
              <w:jc w:val="center"/>
              <w:rPr>
                <w:rFonts w:ascii="黑体" w:hAnsi="黑体" w:eastAsia="黑体"/>
                <w:color w:val="000000"/>
                <w:szCs w:val="21"/>
              </w:rPr>
            </w:pPr>
            <w:r>
              <w:rPr>
                <w:rFonts w:hint="eastAsia" w:ascii="黑体" w:hAnsi="黑体" w:eastAsia="黑体"/>
                <w:color w:val="000000"/>
                <w:szCs w:val="21"/>
              </w:rPr>
              <w:t>1</w:t>
            </w:r>
          </w:p>
        </w:tc>
        <w:tc>
          <w:tcPr>
            <w:tcW w:w="709" w:type="dxa"/>
            <w:vAlign w:val="center"/>
          </w:tcPr>
          <w:p>
            <w:pPr>
              <w:jc w:val="center"/>
              <w:rPr>
                <w:rFonts w:hint="eastAsia" w:ascii="黑体" w:hAnsi="黑体" w:eastAsia="黑体"/>
                <w:color w:val="000000"/>
                <w:szCs w:val="21"/>
                <w:lang w:val="en-US" w:eastAsia="zh-CN"/>
              </w:rPr>
            </w:pPr>
            <w:r>
              <w:rPr>
                <w:rFonts w:hint="eastAsia" w:ascii="黑体" w:hAnsi="黑体" w:eastAsia="黑体"/>
                <w:color w:val="000000"/>
                <w:szCs w:val="21"/>
                <w:lang w:val="en-US" w:eastAsia="zh-CN"/>
              </w:rPr>
              <w:t>20</w:t>
            </w:r>
          </w:p>
        </w:tc>
        <w:tc>
          <w:tcPr>
            <w:tcW w:w="709" w:type="dxa"/>
            <w:vAlign w:val="center"/>
          </w:tcPr>
          <w:p>
            <w:pPr>
              <w:jc w:val="center"/>
              <w:rPr>
                <w:rFonts w:ascii="黑体" w:hAnsi="黑体" w:eastAsia="黑体"/>
                <w:color w:val="000000"/>
                <w:szCs w:val="21"/>
              </w:rPr>
            </w:pPr>
            <w:r>
              <w:rPr>
                <w:rFonts w:hint="eastAsia" w:ascii="黑体" w:hAnsi="黑体" w:eastAsia="黑体"/>
                <w:color w:val="000000"/>
                <w:szCs w:val="21"/>
              </w:rPr>
              <w:t>6</w:t>
            </w:r>
          </w:p>
        </w:tc>
        <w:tc>
          <w:tcPr>
            <w:tcW w:w="1559" w:type="dxa"/>
            <w:vMerge w:val="continue"/>
            <w:vAlign w:val="center"/>
          </w:tcPr>
          <w:p>
            <w:pPr>
              <w:jc w:val="center"/>
              <w:rPr>
                <w:rFonts w:ascii="黑体" w:hAnsi="黑体" w:eastAsia="黑体"/>
                <w:color w:val="000000"/>
                <w:szCs w:val="21"/>
              </w:rPr>
            </w:pPr>
          </w:p>
        </w:tc>
      </w:tr>
    </w:tbl>
    <w:p>
      <w:pPr>
        <w:spacing w:line="500" w:lineRule="exact"/>
        <w:ind w:firstLine="562" w:firstLineChars="200"/>
        <w:rPr>
          <w:rFonts w:ascii="黑体" w:hAnsi="黑体" w:eastAsia="黑体" w:cs="宋体"/>
          <w:b/>
          <w:color w:val="666666"/>
          <w:kern w:val="0"/>
          <w:sz w:val="28"/>
          <w:szCs w:val="28"/>
        </w:rPr>
      </w:pPr>
      <w:r>
        <w:rPr>
          <w:rFonts w:hint="eastAsia" w:ascii="黑体" w:hAnsi="黑体" w:eastAsia="黑体" w:cs="宋体"/>
          <w:b/>
          <w:color w:val="666666"/>
          <w:kern w:val="0"/>
          <w:sz w:val="28"/>
          <w:szCs w:val="28"/>
        </w:rPr>
        <w:t>四、课程内容</w:t>
      </w:r>
    </w:p>
    <w:p>
      <w:pPr>
        <w:numPr>
          <w:ilvl w:val="0"/>
          <w:numId w:val="0"/>
        </w:numPr>
        <w:spacing w:line="500" w:lineRule="exact"/>
        <w:ind w:firstLine="560" w:firstLineChars="200"/>
        <w:rPr>
          <w:rFonts w:hint="eastAsia" w:ascii="仿宋_GB2312" w:hAnsi="Verdana" w:eastAsia="仿宋_GB2312" w:cs="宋体"/>
          <w:color w:val="666666"/>
          <w:kern w:val="0"/>
          <w:sz w:val="28"/>
          <w:szCs w:val="28"/>
          <w:lang w:eastAsia="zh-CN"/>
        </w:rPr>
      </w:pPr>
      <w:r>
        <w:rPr>
          <w:rFonts w:hint="eastAsia" w:ascii="仿宋_GB2312" w:hAnsi="Verdana" w:eastAsia="仿宋_GB2312" w:cs="宋体"/>
          <w:color w:val="666666"/>
          <w:kern w:val="0"/>
          <w:sz w:val="28"/>
          <w:szCs w:val="28"/>
        </w:rPr>
        <w:t>《大学生职业发展与就业指导（一）》</w:t>
      </w:r>
      <w:r>
        <w:rPr>
          <w:rFonts w:hint="eastAsia" w:ascii="仿宋_GB2312" w:hAnsi="Verdana" w:eastAsia="仿宋_GB2312" w:cs="宋体"/>
          <w:color w:val="666666"/>
          <w:kern w:val="0"/>
          <w:sz w:val="28"/>
          <w:szCs w:val="28"/>
          <w:lang w:eastAsia="zh-CN"/>
        </w:rPr>
        <w:t>课程共分七个模块，依次为：</w:t>
      </w:r>
      <w:r>
        <w:rPr>
          <w:rFonts w:hint="eastAsia" w:ascii="仿宋_GB2312" w:hAnsi="Verdana" w:eastAsia="仿宋_GB2312" w:cs="宋体"/>
          <w:color w:val="666666"/>
          <w:kern w:val="0"/>
          <w:sz w:val="28"/>
          <w:szCs w:val="28"/>
        </w:rPr>
        <w:t>大学与大学生活</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大学与大学生活</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大学生职业生涯规划的基本问题</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 xml:space="preserve"> 大学生涯规划的价值选择</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职业生涯规划的内容</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大学生职业生涯规划的方法</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大学生职业规划与大学生活的管理</w:t>
      </w:r>
      <w:r>
        <w:rPr>
          <w:rFonts w:hint="eastAsia" w:ascii="仿宋_GB2312" w:hAnsi="Verdana" w:eastAsia="仿宋_GB2312" w:cs="宋体"/>
          <w:color w:val="666666"/>
          <w:kern w:val="0"/>
          <w:sz w:val="28"/>
          <w:szCs w:val="28"/>
          <w:lang w:eastAsia="zh-CN"/>
        </w:rPr>
        <w:t>。</w:t>
      </w:r>
    </w:p>
    <w:p>
      <w:pPr>
        <w:numPr>
          <w:ilvl w:val="0"/>
          <w:numId w:val="0"/>
        </w:numPr>
        <w:spacing w:line="500" w:lineRule="exact"/>
        <w:ind w:firstLine="560" w:firstLineChars="200"/>
        <w:rPr>
          <w:rFonts w:hint="eastAsia" w:ascii="仿宋_GB2312" w:hAnsi="Verdana" w:eastAsia="仿宋_GB2312" w:cs="宋体"/>
          <w:color w:val="666666"/>
          <w:kern w:val="0"/>
          <w:sz w:val="28"/>
          <w:szCs w:val="28"/>
          <w:lang w:eastAsia="zh-CN"/>
        </w:rPr>
      </w:pPr>
      <w:r>
        <w:rPr>
          <w:rFonts w:hint="eastAsia" w:ascii="仿宋_GB2312" w:hAnsi="Verdana" w:eastAsia="仿宋_GB2312" w:cs="宋体"/>
          <w:color w:val="666666"/>
          <w:kern w:val="0"/>
          <w:sz w:val="28"/>
          <w:szCs w:val="28"/>
        </w:rPr>
        <w:t>《大学生</w:t>
      </w:r>
      <w:r>
        <w:rPr>
          <w:rFonts w:hint="eastAsia" w:ascii="仿宋_GB2312" w:hAnsi="Verdana" w:eastAsia="仿宋_GB2312" w:cs="宋体"/>
          <w:color w:val="666666"/>
          <w:kern w:val="0"/>
          <w:sz w:val="28"/>
          <w:szCs w:val="28"/>
          <w:lang w:eastAsia="zh-CN"/>
        </w:rPr>
        <w:t>创业基础</w:t>
      </w:r>
      <w:r>
        <w:rPr>
          <w:rFonts w:hint="eastAsia" w:ascii="仿宋_GB2312" w:hAnsi="Verdana" w:eastAsia="仿宋_GB2312" w:cs="宋体"/>
          <w:color w:val="666666"/>
          <w:kern w:val="0"/>
          <w:sz w:val="28"/>
          <w:szCs w:val="28"/>
        </w:rPr>
        <w:t>》</w:t>
      </w:r>
      <w:r>
        <w:rPr>
          <w:rFonts w:hint="eastAsia" w:ascii="仿宋_GB2312" w:hAnsi="Verdana" w:eastAsia="仿宋_GB2312" w:cs="宋体"/>
          <w:color w:val="666666"/>
          <w:kern w:val="0"/>
          <w:sz w:val="28"/>
          <w:szCs w:val="28"/>
          <w:lang w:eastAsia="zh-CN"/>
        </w:rPr>
        <w:t>课程共分八个模块，依次为：</w:t>
      </w:r>
      <w:r>
        <w:rPr>
          <w:rFonts w:hint="eastAsia" w:ascii="仿宋_GB2312" w:hAnsi="Verdana" w:eastAsia="仿宋_GB2312" w:cs="宋体"/>
          <w:color w:val="666666"/>
          <w:kern w:val="0"/>
          <w:sz w:val="28"/>
          <w:szCs w:val="28"/>
        </w:rPr>
        <w:t xml:space="preserve">创业、创业精神与大学生的人生发展 </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 xml:space="preserve"> 创业者与创业团队 </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创业机会与创业风险 </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创业资源 </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创业计划</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 xml:space="preserve">  新企业的开办</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 xml:space="preserve"> 大学生创业赛事</w:t>
      </w:r>
      <w:r>
        <w:rPr>
          <w:rFonts w:hint="eastAsia" w:ascii="仿宋_GB2312" w:hAnsi="Verdana" w:eastAsia="仿宋_GB2312" w:cs="宋体"/>
          <w:color w:val="666666"/>
          <w:kern w:val="0"/>
          <w:sz w:val="28"/>
          <w:szCs w:val="28"/>
          <w:lang w:eastAsia="zh-CN"/>
        </w:rPr>
        <w:t>。</w:t>
      </w:r>
    </w:p>
    <w:p>
      <w:pPr>
        <w:numPr>
          <w:ilvl w:val="0"/>
          <w:numId w:val="0"/>
        </w:numPr>
        <w:spacing w:line="500" w:lineRule="exact"/>
        <w:ind w:firstLine="560" w:firstLineChars="200"/>
        <w:rPr>
          <w:rFonts w:hint="eastAsia" w:ascii="仿宋_GB2312" w:hAnsi="Verdana" w:eastAsia="仿宋_GB2312" w:cs="宋体"/>
          <w:color w:val="666666"/>
          <w:kern w:val="0"/>
          <w:sz w:val="28"/>
          <w:szCs w:val="28"/>
          <w:lang w:eastAsia="zh-CN"/>
        </w:rPr>
      </w:pPr>
      <w:r>
        <w:rPr>
          <w:rFonts w:hint="eastAsia" w:ascii="仿宋_GB2312" w:hAnsi="Verdana" w:eastAsia="仿宋_GB2312" w:cs="宋体"/>
          <w:color w:val="666666"/>
          <w:kern w:val="0"/>
          <w:sz w:val="28"/>
          <w:szCs w:val="28"/>
        </w:rPr>
        <w:t>《大学生职业发展与就业指导（</w:t>
      </w:r>
      <w:r>
        <w:rPr>
          <w:rFonts w:hint="eastAsia" w:ascii="仿宋_GB2312" w:hAnsi="Verdana" w:eastAsia="仿宋_GB2312" w:cs="宋体"/>
          <w:color w:val="666666"/>
          <w:kern w:val="0"/>
          <w:sz w:val="28"/>
          <w:szCs w:val="28"/>
          <w:lang w:eastAsia="zh-CN"/>
        </w:rPr>
        <w:t>二</w:t>
      </w:r>
      <w:r>
        <w:rPr>
          <w:rFonts w:hint="eastAsia" w:ascii="仿宋_GB2312" w:hAnsi="Verdana" w:eastAsia="仿宋_GB2312" w:cs="宋体"/>
          <w:color w:val="666666"/>
          <w:kern w:val="0"/>
          <w:sz w:val="28"/>
          <w:szCs w:val="28"/>
        </w:rPr>
        <w:t>）》</w:t>
      </w:r>
      <w:r>
        <w:rPr>
          <w:rFonts w:hint="eastAsia" w:ascii="仿宋_GB2312" w:hAnsi="Verdana" w:eastAsia="仿宋_GB2312" w:cs="宋体"/>
          <w:color w:val="666666"/>
          <w:kern w:val="0"/>
          <w:sz w:val="28"/>
          <w:szCs w:val="28"/>
          <w:lang w:eastAsia="zh-CN"/>
        </w:rPr>
        <w:t>课程共分十个模块，依次为：</w:t>
      </w:r>
      <w:r>
        <w:rPr>
          <w:rFonts w:hint="eastAsia" w:ascii="仿宋_GB2312" w:hAnsi="Verdana" w:eastAsia="仿宋_GB2312" w:cs="宋体"/>
          <w:color w:val="666666"/>
          <w:kern w:val="0"/>
          <w:sz w:val="28"/>
          <w:szCs w:val="28"/>
        </w:rPr>
        <w:t>大学生就业形势与政策</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大学生就业的准备</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大学生职业素养提升</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大学生择业心理</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大学生求职技巧</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 xml:space="preserve"> 毕业生就业程序</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就业权益维护</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职业生涯管理与职业发展</w:t>
      </w:r>
      <w:r>
        <w:rPr>
          <w:rFonts w:hint="eastAsia" w:ascii="仿宋_GB2312" w:hAnsi="Verdana" w:eastAsia="仿宋_GB2312" w:cs="宋体"/>
          <w:color w:val="666666"/>
          <w:kern w:val="0"/>
          <w:sz w:val="28"/>
          <w:szCs w:val="28"/>
          <w:lang w:eastAsia="zh-CN"/>
        </w:rPr>
        <w:t>；</w:t>
      </w:r>
      <w:r>
        <w:rPr>
          <w:rFonts w:hint="eastAsia" w:ascii="仿宋_GB2312" w:hAnsi="Verdana" w:eastAsia="仿宋_GB2312" w:cs="宋体"/>
          <w:color w:val="666666"/>
          <w:kern w:val="0"/>
          <w:sz w:val="28"/>
          <w:szCs w:val="28"/>
        </w:rPr>
        <w:t>实践实训--简历制作</w:t>
      </w:r>
      <w:r>
        <w:rPr>
          <w:rFonts w:hint="eastAsia" w:ascii="仿宋_GB2312" w:hAnsi="Verdana" w:eastAsia="仿宋_GB2312" w:cs="宋体"/>
          <w:color w:val="666666"/>
          <w:kern w:val="0"/>
          <w:sz w:val="28"/>
          <w:szCs w:val="28"/>
          <w:lang w:eastAsia="zh-CN"/>
        </w:rPr>
        <w:t>、模拟面试。</w:t>
      </w:r>
    </w:p>
    <w:p>
      <w:pPr>
        <w:spacing w:line="500" w:lineRule="exact"/>
        <w:ind w:firstLine="422" w:firstLineChars="150"/>
        <w:rPr>
          <w:rFonts w:ascii="黑体" w:hAnsi="黑体" w:eastAsia="黑体" w:cs="宋体"/>
          <w:b/>
          <w:color w:val="666666"/>
          <w:kern w:val="0"/>
          <w:sz w:val="28"/>
          <w:szCs w:val="28"/>
        </w:rPr>
      </w:pPr>
      <w:r>
        <w:rPr>
          <w:rFonts w:hint="eastAsia" w:ascii="黑体" w:hAnsi="黑体" w:eastAsia="黑体" w:cs="宋体"/>
          <w:b/>
          <w:color w:val="666666"/>
          <w:kern w:val="0"/>
          <w:sz w:val="28"/>
          <w:szCs w:val="28"/>
        </w:rPr>
        <w:t>五、</w:t>
      </w:r>
      <w:r>
        <w:rPr>
          <w:rFonts w:ascii="黑体" w:hAnsi="黑体" w:eastAsia="黑体" w:cs="宋体"/>
          <w:b/>
          <w:color w:val="666666"/>
          <w:kern w:val="0"/>
          <w:sz w:val="28"/>
          <w:szCs w:val="28"/>
        </w:rPr>
        <w:t>课程管理</w:t>
      </w:r>
    </w:p>
    <w:p>
      <w:pPr>
        <w:pStyle w:val="4"/>
        <w:spacing w:before="0" w:beforeAutospacing="0" w:after="0" w:afterAutospacing="0" w:line="500" w:lineRule="exact"/>
        <w:ind w:firstLine="480"/>
        <w:rPr>
          <w:rFonts w:ascii="仿宋_GB2312" w:hAnsi="Verdana" w:eastAsia="仿宋_GB2312"/>
          <w:color w:val="666666"/>
          <w:sz w:val="28"/>
          <w:szCs w:val="28"/>
        </w:rPr>
      </w:pPr>
      <w:r>
        <w:rPr>
          <w:rFonts w:hint="eastAsia" w:ascii="仿宋_GB2312" w:hAnsi="Verdana" w:eastAsia="仿宋_GB2312"/>
          <w:color w:val="666666"/>
          <w:sz w:val="28"/>
          <w:szCs w:val="28"/>
        </w:rPr>
        <w:t>教务处和创新创业学院共同负责《</w:t>
      </w:r>
      <w:r>
        <w:rPr>
          <w:rFonts w:ascii="仿宋_GB2312" w:hAnsi="Verdana" w:eastAsia="仿宋_GB2312"/>
          <w:color w:val="666666"/>
          <w:sz w:val="28"/>
          <w:szCs w:val="28"/>
        </w:rPr>
        <w:t>大学生就业创业指导</w:t>
      </w:r>
      <w:r>
        <w:rPr>
          <w:rFonts w:hint="eastAsia" w:ascii="仿宋_GB2312" w:hAnsi="Verdana" w:eastAsia="仿宋_GB2312"/>
          <w:color w:val="666666"/>
          <w:sz w:val="28"/>
          <w:szCs w:val="28"/>
        </w:rPr>
        <w:t>》课程的建设管理。</w:t>
      </w:r>
    </w:p>
    <w:p>
      <w:pPr>
        <w:pStyle w:val="4"/>
        <w:spacing w:before="0" w:beforeAutospacing="0" w:after="0" w:afterAutospacing="0" w:line="500" w:lineRule="exact"/>
        <w:ind w:firstLine="482"/>
        <w:rPr>
          <w:rFonts w:ascii="仿宋_GB2312" w:hAnsi="Verdana" w:eastAsia="仿宋_GB2312"/>
          <w:color w:val="666666"/>
          <w:sz w:val="28"/>
          <w:szCs w:val="28"/>
        </w:rPr>
      </w:pPr>
      <w:r>
        <w:rPr>
          <w:rFonts w:ascii="仿宋_GB2312" w:hAnsi="Verdana" w:eastAsia="仿宋_GB2312"/>
          <w:color w:val="666666"/>
          <w:sz w:val="28"/>
          <w:szCs w:val="28"/>
        </w:rPr>
        <w:t>（一）</w:t>
      </w:r>
      <w:r>
        <w:rPr>
          <w:rFonts w:hint="eastAsia" w:ascii="仿宋_GB2312" w:hAnsi="Verdana" w:eastAsia="仿宋_GB2312"/>
          <w:color w:val="666666"/>
          <w:sz w:val="28"/>
          <w:szCs w:val="28"/>
        </w:rPr>
        <w:t>教务处负责将课程纳入人才培养方案，以公共必修课的形式在各年级各专业学生的学期教学计划中体现出来，并对课程建设进行监督管理，包括</w:t>
      </w:r>
      <w:r>
        <w:rPr>
          <w:rFonts w:ascii="仿宋_GB2312" w:hAnsi="Verdana" w:eastAsia="仿宋_GB2312"/>
          <w:color w:val="666666"/>
          <w:sz w:val="28"/>
          <w:szCs w:val="28"/>
        </w:rPr>
        <w:t>教学的整体安排、教学质量的</w:t>
      </w:r>
      <w:r>
        <w:rPr>
          <w:rFonts w:hint="eastAsia" w:ascii="仿宋_GB2312" w:hAnsi="Verdana" w:eastAsia="仿宋_GB2312"/>
          <w:color w:val="666666"/>
          <w:sz w:val="28"/>
          <w:szCs w:val="28"/>
        </w:rPr>
        <w:t>督导，</w:t>
      </w:r>
      <w:r>
        <w:rPr>
          <w:rFonts w:ascii="仿宋_GB2312" w:hAnsi="Verdana" w:eastAsia="仿宋_GB2312"/>
          <w:color w:val="666666"/>
          <w:sz w:val="28"/>
          <w:szCs w:val="28"/>
        </w:rPr>
        <w:t>教学工作量的核算</w:t>
      </w:r>
      <w:r>
        <w:rPr>
          <w:rFonts w:hint="eastAsia" w:ascii="仿宋_GB2312" w:hAnsi="Verdana" w:eastAsia="仿宋_GB2312"/>
          <w:color w:val="666666"/>
          <w:sz w:val="28"/>
          <w:szCs w:val="28"/>
        </w:rPr>
        <w:t>等工作。</w:t>
      </w:r>
    </w:p>
    <w:p>
      <w:pPr>
        <w:widowControl/>
        <w:shd w:val="clear" w:color="auto" w:fill="FFFFFF"/>
        <w:spacing w:line="500" w:lineRule="exact"/>
        <w:ind w:firstLine="555"/>
        <w:jc w:val="left"/>
        <w:rPr>
          <w:rFonts w:ascii="仿宋_GB2312" w:hAnsi="Verdana" w:eastAsia="仿宋_GB2312" w:cs="宋体"/>
          <w:color w:val="666666"/>
          <w:kern w:val="0"/>
          <w:sz w:val="28"/>
          <w:szCs w:val="28"/>
        </w:rPr>
      </w:pPr>
      <w:r>
        <w:rPr>
          <w:rFonts w:ascii="仿宋_GB2312" w:hAnsi="Verdana" w:eastAsia="仿宋_GB2312" w:cs="宋体"/>
          <w:color w:val="666666"/>
          <w:kern w:val="0"/>
          <w:sz w:val="28"/>
          <w:szCs w:val="28"/>
        </w:rPr>
        <w:t>（</w:t>
      </w:r>
      <w:r>
        <w:rPr>
          <w:rFonts w:hint="eastAsia" w:ascii="仿宋_GB2312" w:hAnsi="Verdana" w:eastAsia="仿宋_GB2312" w:cs="宋体"/>
          <w:color w:val="666666"/>
          <w:kern w:val="0"/>
          <w:sz w:val="28"/>
          <w:szCs w:val="28"/>
        </w:rPr>
        <w:t>二</w:t>
      </w:r>
      <w:r>
        <w:rPr>
          <w:rFonts w:ascii="仿宋_GB2312" w:hAnsi="Verdana" w:eastAsia="仿宋_GB2312" w:cs="宋体"/>
          <w:color w:val="666666"/>
          <w:kern w:val="0"/>
          <w:sz w:val="28"/>
          <w:szCs w:val="28"/>
        </w:rPr>
        <w:t>）</w:t>
      </w:r>
      <w:r>
        <w:rPr>
          <w:rFonts w:hint="eastAsia" w:ascii="仿宋_GB2312" w:hAnsi="Verdana" w:eastAsia="仿宋_GB2312" w:cs="宋体"/>
          <w:color w:val="666666"/>
          <w:kern w:val="0"/>
          <w:sz w:val="28"/>
          <w:szCs w:val="28"/>
        </w:rPr>
        <w:t>创新创业学院就业创业指导教研室负责</w:t>
      </w:r>
      <w:r>
        <w:rPr>
          <w:rFonts w:ascii="仿宋_GB2312" w:hAnsi="Verdana" w:eastAsia="仿宋_GB2312" w:cs="宋体"/>
          <w:color w:val="666666"/>
          <w:kern w:val="0"/>
          <w:sz w:val="28"/>
          <w:szCs w:val="28"/>
        </w:rPr>
        <w:t>在全校开展此项工作的教</w:t>
      </w:r>
      <w:r>
        <w:rPr>
          <w:rFonts w:hint="eastAsia" w:ascii="仿宋_GB2312" w:hAnsi="Verdana" w:eastAsia="仿宋_GB2312" w:cs="宋体"/>
          <w:color w:val="666666"/>
          <w:kern w:val="0"/>
          <w:sz w:val="28"/>
          <w:szCs w:val="28"/>
        </w:rPr>
        <w:t>学</w:t>
      </w:r>
      <w:r>
        <w:rPr>
          <w:rFonts w:ascii="仿宋_GB2312" w:hAnsi="Verdana" w:eastAsia="仿宋_GB2312" w:cs="宋体"/>
          <w:color w:val="666666"/>
          <w:kern w:val="0"/>
          <w:sz w:val="28"/>
          <w:szCs w:val="28"/>
        </w:rPr>
        <w:t>计划和工作规划并组织实</w:t>
      </w:r>
      <w:r>
        <w:rPr>
          <w:rFonts w:hint="eastAsia" w:ascii="仿宋_GB2312" w:hAnsi="Verdana" w:eastAsia="仿宋_GB2312" w:cs="宋体"/>
          <w:color w:val="666666"/>
          <w:kern w:val="0"/>
          <w:sz w:val="28"/>
          <w:szCs w:val="28"/>
        </w:rPr>
        <w:t>施，包括教学方案的制定、</w:t>
      </w:r>
      <w:r>
        <w:rPr>
          <w:rFonts w:ascii="仿宋_GB2312" w:hAnsi="Verdana" w:eastAsia="仿宋_GB2312" w:cs="宋体"/>
          <w:color w:val="666666"/>
          <w:kern w:val="0"/>
          <w:sz w:val="28"/>
          <w:szCs w:val="28"/>
        </w:rPr>
        <w:t>教学大纲的</w:t>
      </w:r>
      <w:r>
        <w:rPr>
          <w:rFonts w:hint="eastAsia" w:ascii="仿宋_GB2312" w:hAnsi="Verdana" w:eastAsia="仿宋_GB2312" w:cs="宋体"/>
          <w:color w:val="666666"/>
          <w:kern w:val="0"/>
          <w:sz w:val="28"/>
          <w:szCs w:val="28"/>
        </w:rPr>
        <w:t>起草</w:t>
      </w:r>
      <w:r>
        <w:rPr>
          <w:rFonts w:ascii="仿宋_GB2312" w:hAnsi="Verdana" w:eastAsia="仿宋_GB2312" w:cs="宋体"/>
          <w:color w:val="666666"/>
          <w:kern w:val="0"/>
          <w:sz w:val="28"/>
          <w:szCs w:val="28"/>
        </w:rPr>
        <w:t>、教学效果的研讨</w:t>
      </w:r>
      <w:r>
        <w:rPr>
          <w:rFonts w:hint="eastAsia" w:ascii="仿宋_GB2312" w:hAnsi="Verdana" w:eastAsia="仿宋_GB2312" w:cs="宋体"/>
          <w:color w:val="666666"/>
          <w:kern w:val="0"/>
          <w:sz w:val="28"/>
          <w:szCs w:val="28"/>
        </w:rPr>
        <w:t>、师资队伍建设</w:t>
      </w:r>
      <w:r>
        <w:rPr>
          <w:rFonts w:ascii="仿宋_GB2312" w:hAnsi="Verdana" w:eastAsia="仿宋_GB2312" w:cs="宋体"/>
          <w:color w:val="666666"/>
          <w:kern w:val="0"/>
          <w:sz w:val="28"/>
          <w:szCs w:val="28"/>
        </w:rPr>
        <w:t>以及</w:t>
      </w:r>
      <w:r>
        <w:rPr>
          <w:rFonts w:hint="eastAsia" w:ascii="仿宋_GB2312" w:hAnsi="Verdana" w:eastAsia="仿宋_GB2312" w:cs="宋体"/>
          <w:color w:val="666666"/>
          <w:kern w:val="0"/>
          <w:sz w:val="28"/>
          <w:szCs w:val="28"/>
        </w:rPr>
        <w:t>对课程教学的日常管理</w:t>
      </w:r>
      <w:r>
        <w:rPr>
          <w:rFonts w:ascii="仿宋_GB2312" w:hAnsi="Verdana" w:eastAsia="仿宋_GB2312" w:cs="宋体"/>
          <w:color w:val="666666"/>
          <w:kern w:val="0"/>
          <w:sz w:val="28"/>
          <w:szCs w:val="28"/>
        </w:rPr>
        <w:t>。</w:t>
      </w:r>
    </w:p>
    <w:p>
      <w:pPr>
        <w:widowControl/>
        <w:adjustRightInd w:val="0"/>
        <w:snapToGrid w:val="0"/>
        <w:spacing w:beforeLines="50" w:line="360" w:lineRule="auto"/>
        <w:ind w:firstLine="562" w:firstLineChars="200"/>
        <w:jc w:val="left"/>
        <w:rPr>
          <w:rFonts w:ascii="黑体" w:hAnsi="黑体" w:eastAsia="黑体" w:cs="宋体"/>
          <w:b/>
          <w:color w:val="666666"/>
          <w:kern w:val="0"/>
          <w:sz w:val="28"/>
          <w:szCs w:val="28"/>
        </w:rPr>
      </w:pPr>
      <w:r>
        <w:rPr>
          <w:rFonts w:hint="eastAsia" w:ascii="黑体" w:hAnsi="黑体" w:eastAsia="黑体" w:cs="宋体"/>
          <w:b/>
          <w:color w:val="666666"/>
          <w:kern w:val="0"/>
          <w:sz w:val="28"/>
          <w:szCs w:val="28"/>
        </w:rPr>
        <w:t>六、课程教学</w:t>
      </w:r>
    </w:p>
    <w:p>
      <w:pPr>
        <w:spacing w:line="500" w:lineRule="exact"/>
        <w:ind w:firstLine="560" w:firstLineChars="200"/>
        <w:rPr>
          <w:rFonts w:ascii="仿宋_GB2312" w:hAnsi="Verdana" w:eastAsia="仿宋_GB2312" w:cs="宋体"/>
          <w:color w:val="666666"/>
          <w:kern w:val="0"/>
          <w:sz w:val="28"/>
          <w:szCs w:val="28"/>
        </w:rPr>
      </w:pPr>
      <w:r>
        <w:rPr>
          <w:rFonts w:hint="eastAsia" w:ascii="仿宋_GB2312" w:hAnsi="Verdana" w:eastAsia="仿宋_GB2312" w:cs="宋体"/>
          <w:color w:val="666666"/>
          <w:kern w:val="0"/>
          <w:sz w:val="28"/>
          <w:szCs w:val="28"/>
        </w:rPr>
        <w:t>课程教学</w:t>
      </w:r>
      <w:r>
        <w:rPr>
          <w:rFonts w:ascii="仿宋_GB2312" w:hAnsi="Verdana" w:eastAsia="仿宋_GB2312" w:cs="宋体"/>
          <w:color w:val="666666"/>
          <w:kern w:val="0"/>
          <w:sz w:val="28"/>
          <w:szCs w:val="28"/>
        </w:rPr>
        <w:t>以合班</w:t>
      </w:r>
      <w:r>
        <w:rPr>
          <w:rFonts w:hint="eastAsia" w:ascii="仿宋_GB2312" w:hAnsi="Verdana" w:eastAsia="仿宋_GB2312" w:cs="宋体"/>
          <w:color w:val="666666"/>
          <w:kern w:val="0"/>
          <w:sz w:val="28"/>
          <w:szCs w:val="28"/>
        </w:rPr>
        <w:t>（300人左右）形式开课，主要</w:t>
      </w:r>
      <w:r>
        <w:rPr>
          <w:rFonts w:ascii="仿宋_GB2312" w:hAnsi="Verdana" w:eastAsia="仿宋_GB2312" w:cs="宋体"/>
          <w:color w:val="666666"/>
          <w:kern w:val="0"/>
          <w:sz w:val="28"/>
          <w:szCs w:val="28"/>
        </w:rPr>
        <w:t>采用</w:t>
      </w:r>
      <w:r>
        <w:rPr>
          <w:rFonts w:hint="eastAsia" w:ascii="仿宋_GB2312" w:hAnsi="Verdana" w:eastAsia="仿宋_GB2312" w:cs="宋体"/>
          <w:color w:val="666666"/>
          <w:kern w:val="0"/>
          <w:sz w:val="28"/>
          <w:szCs w:val="28"/>
        </w:rPr>
        <w:t>课上课下</w:t>
      </w:r>
      <w:r>
        <w:rPr>
          <w:rFonts w:ascii="仿宋_GB2312" w:hAnsi="Verdana" w:eastAsia="仿宋_GB2312" w:cs="宋体"/>
          <w:color w:val="666666"/>
          <w:kern w:val="0"/>
          <w:sz w:val="28"/>
          <w:szCs w:val="28"/>
        </w:rPr>
        <w:t>、</w:t>
      </w:r>
      <w:r>
        <w:rPr>
          <w:rFonts w:hint="eastAsia" w:ascii="仿宋_GB2312" w:hAnsi="Verdana" w:eastAsia="仿宋_GB2312" w:cs="宋体"/>
          <w:color w:val="666666"/>
          <w:kern w:val="0"/>
          <w:sz w:val="28"/>
          <w:szCs w:val="28"/>
        </w:rPr>
        <w:t>线上线下，理论</w:t>
      </w:r>
      <w:r>
        <w:rPr>
          <w:rFonts w:ascii="仿宋_GB2312" w:hAnsi="Verdana" w:eastAsia="仿宋_GB2312" w:cs="宋体"/>
          <w:color w:val="666666"/>
          <w:kern w:val="0"/>
          <w:sz w:val="28"/>
          <w:szCs w:val="28"/>
        </w:rPr>
        <w:t>与</w:t>
      </w:r>
      <w:r>
        <w:rPr>
          <w:rFonts w:hint="eastAsia" w:ascii="仿宋_GB2312" w:hAnsi="Verdana" w:eastAsia="仿宋_GB2312" w:cs="宋体"/>
          <w:color w:val="666666"/>
          <w:kern w:val="0"/>
          <w:sz w:val="28"/>
          <w:szCs w:val="28"/>
        </w:rPr>
        <w:t>实践</w:t>
      </w:r>
      <w:r>
        <w:rPr>
          <w:rFonts w:ascii="仿宋_GB2312" w:hAnsi="Verdana" w:eastAsia="仿宋_GB2312" w:cs="宋体"/>
          <w:color w:val="666666"/>
          <w:kern w:val="0"/>
          <w:sz w:val="28"/>
          <w:szCs w:val="28"/>
        </w:rPr>
        <w:t>相结合的方式进行</w:t>
      </w:r>
      <w:r>
        <w:rPr>
          <w:rFonts w:hint="eastAsia" w:ascii="仿宋_GB2312" w:hAnsi="Verdana" w:eastAsia="仿宋_GB2312" w:cs="宋体"/>
          <w:color w:val="666666"/>
          <w:kern w:val="0"/>
          <w:sz w:val="28"/>
          <w:szCs w:val="28"/>
        </w:rPr>
        <w:t>。教学</w:t>
      </w:r>
      <w:r>
        <w:rPr>
          <w:rFonts w:ascii="仿宋_GB2312" w:hAnsi="Verdana" w:eastAsia="仿宋_GB2312" w:cs="宋体"/>
          <w:color w:val="666666"/>
          <w:kern w:val="0"/>
          <w:sz w:val="28"/>
          <w:szCs w:val="28"/>
        </w:rPr>
        <w:t>方法</w:t>
      </w:r>
      <w:r>
        <w:rPr>
          <w:rFonts w:hint="eastAsia" w:ascii="仿宋_GB2312" w:hAnsi="Verdana" w:eastAsia="仿宋_GB2312" w:cs="宋体"/>
          <w:color w:val="666666"/>
          <w:kern w:val="0"/>
          <w:sz w:val="28"/>
          <w:szCs w:val="28"/>
        </w:rPr>
        <w:t>可采用</w:t>
      </w:r>
      <w:r>
        <w:rPr>
          <w:rFonts w:ascii="仿宋_GB2312" w:hAnsi="Verdana" w:eastAsia="仿宋_GB2312" w:cs="宋体"/>
          <w:color w:val="666666"/>
          <w:kern w:val="0"/>
          <w:sz w:val="28"/>
          <w:szCs w:val="28"/>
        </w:rPr>
        <w:t>典型案例分析、情景模拟训练、小组讨论、角色扮演、社会调查、实习见习等</w:t>
      </w:r>
      <w:r>
        <w:rPr>
          <w:rFonts w:hint="eastAsia" w:ascii="仿宋_GB2312" w:hAnsi="Verdana" w:eastAsia="仿宋_GB2312" w:cs="宋体"/>
          <w:color w:val="666666"/>
          <w:kern w:val="0"/>
          <w:sz w:val="28"/>
          <w:szCs w:val="28"/>
        </w:rPr>
        <w:t>进行</w:t>
      </w:r>
      <w:r>
        <w:rPr>
          <w:rFonts w:ascii="仿宋_GB2312" w:hAnsi="Verdana" w:eastAsia="仿宋_GB2312" w:cs="宋体"/>
          <w:color w:val="666666"/>
          <w:kern w:val="0"/>
          <w:sz w:val="28"/>
          <w:szCs w:val="28"/>
        </w:rPr>
        <w:t>。在教学的过程中，也可以调动社会资源，</w:t>
      </w:r>
      <w:r>
        <w:rPr>
          <w:rFonts w:hint="eastAsia" w:ascii="仿宋_GB2312" w:hAnsi="Verdana" w:eastAsia="仿宋_GB2312" w:cs="宋体"/>
          <w:color w:val="666666"/>
          <w:kern w:val="0"/>
          <w:sz w:val="28"/>
          <w:szCs w:val="28"/>
        </w:rPr>
        <w:t>邀请</w:t>
      </w:r>
      <w:r>
        <w:rPr>
          <w:rFonts w:ascii="仿宋_GB2312" w:hAnsi="Verdana" w:eastAsia="仿宋_GB2312" w:cs="宋体"/>
          <w:color w:val="666666"/>
          <w:kern w:val="0"/>
          <w:sz w:val="28"/>
          <w:szCs w:val="28"/>
        </w:rPr>
        <w:t>外聘专家、</w:t>
      </w:r>
      <w:r>
        <w:rPr>
          <w:rFonts w:hint="eastAsia" w:ascii="仿宋_GB2312" w:hAnsi="Verdana" w:eastAsia="仿宋_GB2312" w:cs="宋体"/>
          <w:color w:val="666666"/>
          <w:kern w:val="0"/>
          <w:sz w:val="28"/>
          <w:szCs w:val="28"/>
        </w:rPr>
        <w:t>优秀</w:t>
      </w:r>
      <w:r>
        <w:rPr>
          <w:rFonts w:ascii="仿宋_GB2312" w:hAnsi="Verdana" w:eastAsia="仿宋_GB2312" w:cs="宋体"/>
          <w:color w:val="666666"/>
          <w:kern w:val="0"/>
          <w:sz w:val="28"/>
          <w:szCs w:val="28"/>
        </w:rPr>
        <w:t>校友</w:t>
      </w:r>
      <w:r>
        <w:rPr>
          <w:rFonts w:hint="eastAsia" w:ascii="仿宋_GB2312" w:hAnsi="Verdana" w:eastAsia="仿宋_GB2312" w:cs="宋体"/>
          <w:color w:val="666666"/>
          <w:kern w:val="0"/>
          <w:sz w:val="28"/>
          <w:szCs w:val="28"/>
        </w:rPr>
        <w:t>开展</w:t>
      </w:r>
      <w:r>
        <w:rPr>
          <w:rFonts w:ascii="仿宋_GB2312" w:hAnsi="Verdana" w:eastAsia="仿宋_GB2312" w:cs="宋体"/>
          <w:color w:val="666666"/>
          <w:kern w:val="0"/>
          <w:sz w:val="28"/>
          <w:szCs w:val="28"/>
        </w:rPr>
        <w:t>专题讲座和座谈相结合的方法。</w:t>
      </w:r>
    </w:p>
    <w:p>
      <w:pPr>
        <w:widowControl/>
        <w:adjustRightInd w:val="0"/>
        <w:snapToGrid w:val="0"/>
        <w:spacing w:before="78" w:line="360" w:lineRule="auto"/>
        <w:ind w:firstLine="562" w:firstLineChars="200"/>
        <w:jc w:val="left"/>
        <w:rPr>
          <w:rFonts w:ascii="黑体" w:hAnsi="黑体" w:eastAsia="黑体" w:cs="宋体"/>
          <w:b/>
          <w:color w:val="666666"/>
          <w:kern w:val="0"/>
          <w:sz w:val="28"/>
          <w:szCs w:val="28"/>
        </w:rPr>
      </w:pPr>
      <w:r>
        <w:rPr>
          <w:rFonts w:hint="eastAsia" w:ascii="黑体" w:hAnsi="黑体" w:eastAsia="黑体" w:cs="宋体"/>
          <w:b/>
          <w:color w:val="666666"/>
          <w:kern w:val="0"/>
          <w:sz w:val="28"/>
          <w:szCs w:val="28"/>
        </w:rPr>
        <w:t>七、课程评估</w:t>
      </w:r>
    </w:p>
    <w:p>
      <w:pPr>
        <w:widowControl/>
        <w:spacing w:line="500" w:lineRule="exact"/>
        <w:ind w:firstLine="482"/>
        <w:jc w:val="left"/>
        <w:rPr>
          <w:rFonts w:ascii="仿宋_GB2312" w:hAnsi="Verdana" w:eastAsia="仿宋_GB2312" w:cs="宋体"/>
          <w:color w:val="666666"/>
          <w:kern w:val="0"/>
          <w:sz w:val="28"/>
          <w:szCs w:val="28"/>
        </w:rPr>
      </w:pPr>
      <w:r>
        <w:rPr>
          <w:rFonts w:hint="eastAsia" w:ascii="仿宋_GB2312" w:hAnsi="Verdana" w:eastAsia="仿宋_GB2312" w:cs="宋体"/>
          <w:color w:val="666666"/>
          <w:kern w:val="0"/>
          <w:sz w:val="28"/>
          <w:szCs w:val="28"/>
        </w:rPr>
        <w:t>课程评估采用过程评价和结果评价相结合的方式，适当突出过程评价，即学生对课程的所学、所感、所用。结果评价主要从学生对课程的评教评学和学生的综合职业能力的提升来评估，要结合学科专业特点，从学生对职业发展、创新创业、求职择业等相关知识的理解和掌握，以及实际形成的职业发展规划（表现在自我发展目标明确，自主学习动力强劲）、就业创业实际能力（表现在就业率高和创业人数增多）两大方面进行评价。</w:t>
      </w:r>
    </w:p>
    <w:p>
      <w:pPr>
        <w:pStyle w:val="4"/>
        <w:spacing w:before="0" w:beforeAutospacing="0" w:after="0" w:afterAutospacing="0" w:line="500" w:lineRule="exact"/>
        <w:ind w:firstLine="621" w:firstLineChars="221"/>
        <w:rPr>
          <w:rFonts w:ascii="仿宋_GB2312" w:hAnsi="Verdana" w:eastAsia="仿宋_GB2312"/>
          <w:color w:val="666666"/>
          <w:sz w:val="28"/>
          <w:szCs w:val="28"/>
        </w:rPr>
      </w:pPr>
      <w:r>
        <w:rPr>
          <w:rFonts w:hint="eastAsia" w:ascii="黑体" w:hAnsi="黑体" w:eastAsia="黑体"/>
          <w:b/>
          <w:color w:val="666666"/>
          <w:sz w:val="28"/>
          <w:szCs w:val="28"/>
        </w:rPr>
        <w:t>八</w:t>
      </w:r>
      <w:r>
        <w:rPr>
          <w:rFonts w:ascii="黑体" w:hAnsi="黑体" w:eastAsia="黑体"/>
          <w:b/>
          <w:color w:val="666666"/>
          <w:sz w:val="28"/>
          <w:szCs w:val="28"/>
        </w:rPr>
        <w:t>、课程考核</w:t>
      </w:r>
    </w:p>
    <w:p>
      <w:pPr>
        <w:widowControl/>
        <w:spacing w:line="500" w:lineRule="exact"/>
        <w:ind w:firstLine="482"/>
        <w:jc w:val="left"/>
        <w:rPr>
          <w:rFonts w:ascii="仿宋_GB2312" w:hAnsi="Verdana" w:eastAsia="仿宋_GB2312" w:cs="宋体"/>
          <w:color w:val="666666"/>
          <w:kern w:val="0"/>
          <w:sz w:val="28"/>
          <w:szCs w:val="28"/>
        </w:rPr>
      </w:pPr>
      <w:r>
        <w:rPr>
          <w:rFonts w:ascii="仿宋_GB2312" w:hAnsi="Verdana" w:eastAsia="仿宋_GB2312" w:cs="宋体"/>
          <w:color w:val="666666"/>
          <w:kern w:val="0"/>
          <w:sz w:val="28"/>
          <w:szCs w:val="28"/>
        </w:rPr>
        <w:t> </w:t>
      </w:r>
      <w:r>
        <w:rPr>
          <w:rFonts w:hint="eastAsia" w:ascii="仿宋_GB2312" w:hAnsi="Verdana" w:eastAsia="仿宋_GB2312" w:cs="宋体"/>
          <w:color w:val="666666"/>
          <w:kern w:val="0"/>
          <w:sz w:val="28"/>
          <w:szCs w:val="28"/>
        </w:rPr>
        <w:t>《大学生就业创业指导》课程考核以考查课的形式开展，成绩计算采用优秀、良好、中等、合格、不合格五级记分制。成绩构成分平时成绩（占30%）和期末成绩（70%）。平时成绩包括上课考勤、课堂表现、完成作业等；期末成绩以学习心得、调研报告、职业生涯规划书、创业设计书、尔雅网络课程学习等形式进行。</w:t>
      </w:r>
    </w:p>
    <w:p>
      <w:pPr>
        <w:pStyle w:val="4"/>
        <w:spacing w:before="0" w:beforeAutospacing="0" w:after="0" w:afterAutospacing="0" w:line="500" w:lineRule="exact"/>
        <w:ind w:firstLine="621" w:firstLineChars="221"/>
        <w:rPr>
          <w:rFonts w:ascii="黑体" w:hAnsi="黑体" w:eastAsia="黑体"/>
          <w:b/>
          <w:color w:val="666666"/>
          <w:sz w:val="28"/>
          <w:szCs w:val="28"/>
        </w:rPr>
      </w:pPr>
      <w:r>
        <w:rPr>
          <w:rFonts w:hint="eastAsia" w:ascii="黑体" w:hAnsi="黑体" w:eastAsia="黑体"/>
          <w:b/>
          <w:color w:val="666666"/>
          <w:sz w:val="28"/>
          <w:szCs w:val="28"/>
        </w:rPr>
        <w:t>九</w:t>
      </w:r>
      <w:r>
        <w:rPr>
          <w:rFonts w:ascii="黑体" w:hAnsi="黑体" w:eastAsia="黑体"/>
          <w:b/>
          <w:color w:val="666666"/>
          <w:sz w:val="28"/>
          <w:szCs w:val="28"/>
        </w:rPr>
        <w:t>、课程</w:t>
      </w:r>
      <w:r>
        <w:rPr>
          <w:rFonts w:hint="eastAsia" w:ascii="黑体" w:hAnsi="黑体" w:eastAsia="黑体"/>
          <w:b/>
          <w:color w:val="666666"/>
          <w:sz w:val="28"/>
          <w:szCs w:val="28"/>
        </w:rPr>
        <w:t>教材</w:t>
      </w:r>
    </w:p>
    <w:p>
      <w:pPr>
        <w:widowControl/>
        <w:spacing w:line="500" w:lineRule="exact"/>
        <w:ind w:firstLine="482"/>
        <w:jc w:val="left"/>
        <w:rPr>
          <w:rFonts w:ascii="仿宋_GB2312" w:hAnsi="Verdana" w:eastAsia="仿宋_GB2312" w:cs="宋体"/>
          <w:color w:val="666666"/>
          <w:kern w:val="0"/>
          <w:sz w:val="28"/>
          <w:szCs w:val="28"/>
        </w:rPr>
      </w:pPr>
      <w:r>
        <w:rPr>
          <w:rFonts w:hint="eastAsia" w:ascii="仿宋_GB2312" w:hAnsi="Verdana" w:eastAsia="仿宋_GB2312" w:cs="宋体"/>
          <w:color w:val="666666"/>
          <w:kern w:val="0"/>
          <w:sz w:val="28"/>
          <w:szCs w:val="28"/>
        </w:rPr>
        <w:t>教材采用我校自主研发并公开发行的配套教材《大学生职业生涯发展规划教程》、《大学生创业就业指导教程》（普通高等教育公共基础课系列“十三五”规划教材），此教材结合我校就业创业工作和教学实际研发，更能高效、便捷地开展课程教学，更有利于提升学生的职业规划发展与就业创业能力。</w:t>
      </w:r>
    </w:p>
    <w:p>
      <w:pPr>
        <w:pStyle w:val="4"/>
        <w:spacing w:before="0" w:beforeAutospacing="0" w:after="0" w:afterAutospacing="0" w:line="500" w:lineRule="exact"/>
        <w:ind w:firstLine="562" w:firstLineChars="200"/>
        <w:rPr>
          <w:rFonts w:ascii="黑体" w:hAnsi="黑体" w:eastAsia="黑体"/>
          <w:b/>
          <w:color w:val="666666"/>
          <w:sz w:val="28"/>
          <w:szCs w:val="28"/>
        </w:rPr>
      </w:pPr>
      <w:r>
        <w:rPr>
          <w:rFonts w:hint="eastAsia" w:ascii="黑体" w:hAnsi="黑体" w:eastAsia="黑体"/>
          <w:b/>
          <w:color w:val="666666"/>
          <w:sz w:val="28"/>
          <w:szCs w:val="28"/>
        </w:rPr>
        <w:t>十、课程保障</w:t>
      </w:r>
    </w:p>
    <w:p>
      <w:pPr>
        <w:widowControl/>
        <w:shd w:val="clear" w:color="auto" w:fill="FFFFFF"/>
        <w:spacing w:line="500" w:lineRule="exact"/>
        <w:ind w:firstLine="560"/>
        <w:jc w:val="left"/>
        <w:rPr>
          <w:rFonts w:ascii="仿宋_GB2312" w:hAnsi="Verdana" w:eastAsia="仿宋_GB2312" w:cs="宋体"/>
          <w:color w:val="666666"/>
          <w:kern w:val="0"/>
          <w:sz w:val="28"/>
          <w:szCs w:val="28"/>
        </w:rPr>
      </w:pPr>
      <w:r>
        <w:rPr>
          <w:rFonts w:hint="eastAsia" w:ascii="仿宋_GB2312" w:hAnsi="Verdana" w:eastAsia="仿宋_GB2312" w:cs="宋体"/>
          <w:color w:val="666666"/>
          <w:kern w:val="0"/>
          <w:sz w:val="28"/>
          <w:szCs w:val="28"/>
        </w:rPr>
        <w:t>学校鼓励就业创业指导课程教师走专职化发展，按照“按岗申报、按岗评聘”原则，在专业技术职务评聘中充分考虑就业创业指导教师的工作性质、工作业绩，在安排职称评聘名额时，创造条件予以适当倾斜。就业创业指导课的任课教师与其他专业教师一样享受学校教学人员的相应待遇，教学、科研、实践工作量及年终考核、职称评定等均按照学校有关规定执行。</w:t>
      </w:r>
    </w:p>
    <w:p>
      <w:pPr>
        <w:spacing w:line="500" w:lineRule="exact"/>
        <w:ind w:firstLine="560" w:firstLineChars="200"/>
        <w:rPr>
          <w:rFonts w:ascii="仿宋_GB2312" w:hAnsi="Verdana" w:eastAsia="仿宋_GB2312" w:cs="宋体"/>
          <w:color w:val="666666"/>
          <w:kern w:val="0"/>
          <w:sz w:val="28"/>
          <w:szCs w:val="28"/>
        </w:rPr>
      </w:pPr>
    </w:p>
    <w:p>
      <w:pPr>
        <w:widowControl/>
        <w:spacing w:line="500" w:lineRule="atLeast"/>
        <w:ind w:firstLine="5880" w:firstLineChars="2100"/>
        <w:jc w:val="left"/>
        <w:rPr>
          <w:rFonts w:ascii="仿宋_GB2312" w:hAnsi="Verdana" w:eastAsia="仿宋_GB2312" w:cs="宋体"/>
          <w:color w:val="666666"/>
          <w:kern w:val="0"/>
          <w:sz w:val="28"/>
          <w:szCs w:val="28"/>
        </w:rPr>
      </w:pPr>
    </w:p>
    <w:p>
      <w:pPr>
        <w:widowControl/>
        <w:spacing w:line="500" w:lineRule="atLeast"/>
        <w:ind w:firstLine="5880" w:firstLineChars="2100"/>
        <w:jc w:val="left"/>
        <w:rPr>
          <w:rFonts w:ascii="仿宋_GB2312" w:hAnsi="Verdana" w:eastAsia="仿宋_GB2312" w:cs="宋体"/>
          <w:color w:val="666666"/>
          <w:kern w:val="0"/>
          <w:sz w:val="28"/>
          <w:szCs w:val="28"/>
        </w:rPr>
      </w:pPr>
      <w:r>
        <w:rPr>
          <w:rFonts w:hint="eastAsia" w:ascii="仿宋_GB2312" w:hAnsi="Verdana" w:eastAsia="仿宋_GB2312" w:cs="宋体"/>
          <w:color w:val="666666"/>
          <w:kern w:val="0"/>
          <w:sz w:val="28"/>
          <w:szCs w:val="28"/>
        </w:rPr>
        <w:t>创新创业学院</w:t>
      </w:r>
    </w:p>
    <w:p>
      <w:pPr>
        <w:widowControl/>
        <w:spacing w:line="500" w:lineRule="atLeast"/>
        <w:ind w:firstLine="6160" w:firstLineChars="2200"/>
        <w:jc w:val="left"/>
        <w:rPr>
          <w:rFonts w:ascii="仿宋_GB2312" w:hAnsi="Verdana" w:eastAsia="仿宋_GB2312" w:cs="宋体"/>
          <w:color w:val="666666"/>
          <w:kern w:val="0"/>
          <w:sz w:val="28"/>
          <w:szCs w:val="28"/>
        </w:rPr>
      </w:pPr>
      <w:r>
        <w:rPr>
          <w:rFonts w:hint="eastAsia" w:ascii="仿宋_GB2312" w:hAnsi="Verdana" w:eastAsia="仿宋_GB2312" w:cs="宋体"/>
          <w:color w:val="666666"/>
          <w:kern w:val="0"/>
          <w:sz w:val="28"/>
          <w:szCs w:val="28"/>
        </w:rPr>
        <w:t>2018.04</w:t>
      </w:r>
    </w:p>
    <w:p>
      <w:pPr>
        <w:widowControl/>
        <w:adjustRightInd w:val="0"/>
        <w:snapToGrid w:val="0"/>
        <w:spacing w:line="500" w:lineRule="exact"/>
        <w:ind w:firstLine="539"/>
        <w:jc w:val="left"/>
        <w:rPr>
          <w:rFonts w:ascii="仿宋_GB2312" w:hAnsi="Verdana" w:eastAsia="仿宋_GB2312" w:cs="宋体"/>
          <w:color w:val="666666"/>
          <w:kern w:val="0"/>
          <w:sz w:val="28"/>
          <w:szCs w:val="28"/>
        </w:rPr>
      </w:pPr>
    </w:p>
    <w:p>
      <w:pPr>
        <w:widowControl/>
        <w:adjustRightInd w:val="0"/>
        <w:snapToGrid w:val="0"/>
        <w:spacing w:line="500" w:lineRule="exact"/>
        <w:ind w:firstLine="539"/>
        <w:jc w:val="left"/>
        <w:rPr>
          <w:rFonts w:ascii="仿宋_GB2312" w:hAnsi="Verdana" w:eastAsia="仿宋_GB2312" w:cs="宋体"/>
          <w:color w:val="666666"/>
          <w:kern w:val="0"/>
          <w:sz w:val="28"/>
          <w:szCs w:val="28"/>
        </w:rPr>
      </w:pPr>
    </w:p>
    <w:p>
      <w:pPr>
        <w:widowControl/>
        <w:adjustRightInd w:val="0"/>
        <w:snapToGrid w:val="0"/>
        <w:spacing w:line="500" w:lineRule="exact"/>
        <w:ind w:firstLine="539"/>
        <w:jc w:val="left"/>
        <w:rPr>
          <w:rFonts w:ascii="仿宋_GB2312" w:hAnsi="Verdana" w:eastAsia="仿宋_GB2312" w:cs="宋体"/>
          <w:color w:val="666666"/>
          <w:kern w:val="0"/>
          <w:sz w:val="28"/>
          <w:szCs w:val="28"/>
        </w:rPr>
      </w:pPr>
    </w:p>
    <w:p>
      <w:pPr>
        <w:widowControl/>
        <w:adjustRightInd w:val="0"/>
        <w:snapToGrid w:val="0"/>
        <w:spacing w:line="500" w:lineRule="exact"/>
        <w:ind w:firstLine="539"/>
        <w:jc w:val="left"/>
        <w:rPr>
          <w:rFonts w:ascii="仿宋_GB2312" w:hAnsi="Verdana" w:eastAsia="仿宋_GB2312" w:cs="宋体"/>
          <w:color w:val="666666"/>
          <w:kern w:val="0"/>
          <w:sz w:val="28"/>
          <w:szCs w:val="28"/>
        </w:rPr>
      </w:pPr>
    </w:p>
    <w:p>
      <w:pPr>
        <w:widowControl/>
        <w:adjustRightInd w:val="0"/>
        <w:snapToGrid w:val="0"/>
        <w:spacing w:line="500" w:lineRule="exact"/>
        <w:ind w:firstLine="539"/>
        <w:jc w:val="left"/>
        <w:rPr>
          <w:rFonts w:ascii="仿宋_GB2312" w:hAnsi="Verdana" w:eastAsia="仿宋_GB2312" w:cs="宋体"/>
          <w:color w:val="666666"/>
          <w:kern w:val="0"/>
          <w:sz w:val="28"/>
          <w:szCs w:val="28"/>
        </w:rPr>
      </w:pPr>
    </w:p>
    <w:p>
      <w:pPr>
        <w:widowControl/>
        <w:adjustRightInd w:val="0"/>
        <w:snapToGrid w:val="0"/>
        <w:spacing w:line="500" w:lineRule="exact"/>
        <w:ind w:firstLine="539"/>
        <w:jc w:val="left"/>
        <w:rPr>
          <w:rFonts w:ascii="仿宋_GB2312" w:hAnsi="Verdana" w:eastAsia="仿宋_GB2312" w:cs="宋体"/>
          <w:color w:val="666666"/>
          <w:kern w:val="0"/>
          <w:sz w:val="28"/>
          <w:szCs w:val="28"/>
        </w:rPr>
      </w:pPr>
    </w:p>
    <w:p>
      <w:pPr>
        <w:widowControl/>
        <w:adjustRightInd w:val="0"/>
        <w:snapToGrid w:val="0"/>
        <w:spacing w:line="500" w:lineRule="exact"/>
        <w:ind w:firstLine="539"/>
        <w:jc w:val="left"/>
        <w:rPr>
          <w:rFonts w:ascii="仿宋_GB2312" w:hAnsi="Verdana" w:eastAsia="仿宋_GB2312" w:cs="宋体"/>
          <w:color w:val="666666"/>
          <w:kern w:val="0"/>
          <w:sz w:val="28"/>
          <w:szCs w:val="28"/>
        </w:rPr>
      </w:pPr>
    </w:p>
    <w:p>
      <w:pPr>
        <w:widowControl/>
        <w:adjustRightInd w:val="0"/>
        <w:snapToGrid w:val="0"/>
        <w:spacing w:line="500" w:lineRule="exact"/>
        <w:ind w:firstLine="539"/>
        <w:jc w:val="left"/>
        <w:rPr>
          <w:rFonts w:ascii="仿宋_GB2312" w:hAnsi="Verdana" w:eastAsia="仿宋_GB2312" w:cs="宋体"/>
          <w:color w:val="666666"/>
          <w:kern w:val="0"/>
          <w:sz w:val="28"/>
          <w:szCs w:val="28"/>
        </w:rPr>
      </w:pPr>
    </w:p>
    <w:p>
      <w:pPr>
        <w:widowControl/>
        <w:adjustRightInd w:val="0"/>
        <w:snapToGrid w:val="0"/>
        <w:spacing w:line="500" w:lineRule="exact"/>
        <w:jc w:val="left"/>
        <w:rPr>
          <w:rFonts w:ascii="仿宋_GB2312" w:hAnsi="Verdana" w:eastAsia="仿宋_GB2312" w:cs="宋体"/>
          <w:color w:val="666666"/>
          <w:kern w:val="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6529F"/>
    <w:rsid w:val="00017592"/>
    <w:rsid w:val="00021A84"/>
    <w:rsid w:val="0002458A"/>
    <w:rsid w:val="00030C2F"/>
    <w:rsid w:val="00032370"/>
    <w:rsid w:val="00032A34"/>
    <w:rsid w:val="0004149D"/>
    <w:rsid w:val="00043EAD"/>
    <w:rsid w:val="00045CFD"/>
    <w:rsid w:val="000959C0"/>
    <w:rsid w:val="000A519B"/>
    <w:rsid w:val="000A697D"/>
    <w:rsid w:val="000B2D46"/>
    <w:rsid w:val="000C0698"/>
    <w:rsid w:val="000D54B6"/>
    <w:rsid w:val="000E0A55"/>
    <w:rsid w:val="0010311A"/>
    <w:rsid w:val="00133D03"/>
    <w:rsid w:val="0013426D"/>
    <w:rsid w:val="00142442"/>
    <w:rsid w:val="00147E73"/>
    <w:rsid w:val="00184FC9"/>
    <w:rsid w:val="00193123"/>
    <w:rsid w:val="001A3EE1"/>
    <w:rsid w:val="001A5261"/>
    <w:rsid w:val="001B1118"/>
    <w:rsid w:val="001C192C"/>
    <w:rsid w:val="001E323B"/>
    <w:rsid w:val="00223146"/>
    <w:rsid w:val="00256DB7"/>
    <w:rsid w:val="0026301F"/>
    <w:rsid w:val="002660BF"/>
    <w:rsid w:val="002701B5"/>
    <w:rsid w:val="00283A6D"/>
    <w:rsid w:val="002855ED"/>
    <w:rsid w:val="00286422"/>
    <w:rsid w:val="00293669"/>
    <w:rsid w:val="002C4C8F"/>
    <w:rsid w:val="002C54B0"/>
    <w:rsid w:val="002D6B08"/>
    <w:rsid w:val="003034CC"/>
    <w:rsid w:val="00327D49"/>
    <w:rsid w:val="0033140C"/>
    <w:rsid w:val="00344A16"/>
    <w:rsid w:val="003476C1"/>
    <w:rsid w:val="00350157"/>
    <w:rsid w:val="00357431"/>
    <w:rsid w:val="00364DBA"/>
    <w:rsid w:val="00366D26"/>
    <w:rsid w:val="003776B1"/>
    <w:rsid w:val="0038327D"/>
    <w:rsid w:val="0039256E"/>
    <w:rsid w:val="003A1F80"/>
    <w:rsid w:val="003B5AB4"/>
    <w:rsid w:val="003B70E4"/>
    <w:rsid w:val="003C05CC"/>
    <w:rsid w:val="003D4189"/>
    <w:rsid w:val="003F5519"/>
    <w:rsid w:val="00402F28"/>
    <w:rsid w:val="004045B9"/>
    <w:rsid w:val="00426D63"/>
    <w:rsid w:val="0043410C"/>
    <w:rsid w:val="004542FC"/>
    <w:rsid w:val="0047269B"/>
    <w:rsid w:val="00472A50"/>
    <w:rsid w:val="004764FD"/>
    <w:rsid w:val="00482163"/>
    <w:rsid w:val="004872AD"/>
    <w:rsid w:val="00487592"/>
    <w:rsid w:val="004B528D"/>
    <w:rsid w:val="004C0465"/>
    <w:rsid w:val="004E15AC"/>
    <w:rsid w:val="004F253F"/>
    <w:rsid w:val="00512231"/>
    <w:rsid w:val="00515678"/>
    <w:rsid w:val="00517F4F"/>
    <w:rsid w:val="00523C20"/>
    <w:rsid w:val="00535BEA"/>
    <w:rsid w:val="00563CF6"/>
    <w:rsid w:val="0057044D"/>
    <w:rsid w:val="00571B03"/>
    <w:rsid w:val="00586263"/>
    <w:rsid w:val="005B1B62"/>
    <w:rsid w:val="005B43F2"/>
    <w:rsid w:val="005C0D60"/>
    <w:rsid w:val="005D035E"/>
    <w:rsid w:val="005F1932"/>
    <w:rsid w:val="005F312C"/>
    <w:rsid w:val="0060778E"/>
    <w:rsid w:val="00615D73"/>
    <w:rsid w:val="006169D7"/>
    <w:rsid w:val="006261ED"/>
    <w:rsid w:val="00641CD6"/>
    <w:rsid w:val="0064382F"/>
    <w:rsid w:val="00650A6B"/>
    <w:rsid w:val="00653C74"/>
    <w:rsid w:val="0066529F"/>
    <w:rsid w:val="00670C61"/>
    <w:rsid w:val="00685525"/>
    <w:rsid w:val="00685F52"/>
    <w:rsid w:val="00690E65"/>
    <w:rsid w:val="00694395"/>
    <w:rsid w:val="006A008F"/>
    <w:rsid w:val="006A6039"/>
    <w:rsid w:val="006B33A1"/>
    <w:rsid w:val="006B3F3E"/>
    <w:rsid w:val="006D1DE5"/>
    <w:rsid w:val="006F5BAB"/>
    <w:rsid w:val="006F6F04"/>
    <w:rsid w:val="00716AE0"/>
    <w:rsid w:val="00740957"/>
    <w:rsid w:val="00744C48"/>
    <w:rsid w:val="00765282"/>
    <w:rsid w:val="00794DB2"/>
    <w:rsid w:val="007B040A"/>
    <w:rsid w:val="007D6BA1"/>
    <w:rsid w:val="007D76D0"/>
    <w:rsid w:val="007E0191"/>
    <w:rsid w:val="007E143A"/>
    <w:rsid w:val="00800B85"/>
    <w:rsid w:val="00807D44"/>
    <w:rsid w:val="00811AA8"/>
    <w:rsid w:val="0082367E"/>
    <w:rsid w:val="00832979"/>
    <w:rsid w:val="0083518F"/>
    <w:rsid w:val="008373AD"/>
    <w:rsid w:val="00841221"/>
    <w:rsid w:val="008510E9"/>
    <w:rsid w:val="008529F4"/>
    <w:rsid w:val="00853B5A"/>
    <w:rsid w:val="00860CF7"/>
    <w:rsid w:val="00874524"/>
    <w:rsid w:val="00887937"/>
    <w:rsid w:val="008A644B"/>
    <w:rsid w:val="008B21EE"/>
    <w:rsid w:val="008D11C3"/>
    <w:rsid w:val="008D37BE"/>
    <w:rsid w:val="008E3B31"/>
    <w:rsid w:val="008F6600"/>
    <w:rsid w:val="00902306"/>
    <w:rsid w:val="00911811"/>
    <w:rsid w:val="00916A19"/>
    <w:rsid w:val="00927C92"/>
    <w:rsid w:val="00945A75"/>
    <w:rsid w:val="0095164B"/>
    <w:rsid w:val="00970544"/>
    <w:rsid w:val="009A7ED1"/>
    <w:rsid w:val="009C3D82"/>
    <w:rsid w:val="009D0644"/>
    <w:rsid w:val="009D1525"/>
    <w:rsid w:val="009D49E8"/>
    <w:rsid w:val="009D6F2E"/>
    <w:rsid w:val="009E0743"/>
    <w:rsid w:val="009E0944"/>
    <w:rsid w:val="009E3CA8"/>
    <w:rsid w:val="00A11365"/>
    <w:rsid w:val="00A15F32"/>
    <w:rsid w:val="00A167C9"/>
    <w:rsid w:val="00A458FB"/>
    <w:rsid w:val="00A60810"/>
    <w:rsid w:val="00A63F62"/>
    <w:rsid w:val="00A67409"/>
    <w:rsid w:val="00A76060"/>
    <w:rsid w:val="00A766C2"/>
    <w:rsid w:val="00A9720E"/>
    <w:rsid w:val="00A97936"/>
    <w:rsid w:val="00B21374"/>
    <w:rsid w:val="00B45FD0"/>
    <w:rsid w:val="00B659C6"/>
    <w:rsid w:val="00B731FA"/>
    <w:rsid w:val="00BA4D23"/>
    <w:rsid w:val="00BC5D85"/>
    <w:rsid w:val="00BE1ABE"/>
    <w:rsid w:val="00BE3519"/>
    <w:rsid w:val="00BE6C2E"/>
    <w:rsid w:val="00C07BBD"/>
    <w:rsid w:val="00C1502E"/>
    <w:rsid w:val="00C220F7"/>
    <w:rsid w:val="00C42FD5"/>
    <w:rsid w:val="00C43A5F"/>
    <w:rsid w:val="00C4448E"/>
    <w:rsid w:val="00C73BFF"/>
    <w:rsid w:val="00C752DB"/>
    <w:rsid w:val="00C81055"/>
    <w:rsid w:val="00C8112C"/>
    <w:rsid w:val="00C851B9"/>
    <w:rsid w:val="00C87203"/>
    <w:rsid w:val="00CA6F8C"/>
    <w:rsid w:val="00CB2F78"/>
    <w:rsid w:val="00CD5614"/>
    <w:rsid w:val="00CD75AB"/>
    <w:rsid w:val="00CE07D6"/>
    <w:rsid w:val="00CE1198"/>
    <w:rsid w:val="00CE3716"/>
    <w:rsid w:val="00CE768B"/>
    <w:rsid w:val="00CE7E00"/>
    <w:rsid w:val="00CF1395"/>
    <w:rsid w:val="00D06DE5"/>
    <w:rsid w:val="00D071CB"/>
    <w:rsid w:val="00D106F8"/>
    <w:rsid w:val="00D30CE1"/>
    <w:rsid w:val="00D45E18"/>
    <w:rsid w:val="00D66A72"/>
    <w:rsid w:val="00D74484"/>
    <w:rsid w:val="00D8154C"/>
    <w:rsid w:val="00D81D21"/>
    <w:rsid w:val="00D90364"/>
    <w:rsid w:val="00DA1440"/>
    <w:rsid w:val="00DA1B3E"/>
    <w:rsid w:val="00DA3F2D"/>
    <w:rsid w:val="00DA692F"/>
    <w:rsid w:val="00DB3940"/>
    <w:rsid w:val="00DB682D"/>
    <w:rsid w:val="00DC5B28"/>
    <w:rsid w:val="00DD0B2A"/>
    <w:rsid w:val="00DD53C3"/>
    <w:rsid w:val="00DF1219"/>
    <w:rsid w:val="00E00322"/>
    <w:rsid w:val="00E05465"/>
    <w:rsid w:val="00E137BC"/>
    <w:rsid w:val="00E357D8"/>
    <w:rsid w:val="00E47718"/>
    <w:rsid w:val="00E56962"/>
    <w:rsid w:val="00E5714C"/>
    <w:rsid w:val="00E65B7D"/>
    <w:rsid w:val="00E8342C"/>
    <w:rsid w:val="00E91D68"/>
    <w:rsid w:val="00E93766"/>
    <w:rsid w:val="00E96399"/>
    <w:rsid w:val="00EA762C"/>
    <w:rsid w:val="00EB1376"/>
    <w:rsid w:val="00ED5234"/>
    <w:rsid w:val="00EE3353"/>
    <w:rsid w:val="00EE439A"/>
    <w:rsid w:val="00EE67AF"/>
    <w:rsid w:val="00F12FCE"/>
    <w:rsid w:val="00F22574"/>
    <w:rsid w:val="00F308C0"/>
    <w:rsid w:val="00F31F92"/>
    <w:rsid w:val="00F466B5"/>
    <w:rsid w:val="00F5030D"/>
    <w:rsid w:val="00F71B70"/>
    <w:rsid w:val="00F755FE"/>
    <w:rsid w:val="00F76160"/>
    <w:rsid w:val="00F76F47"/>
    <w:rsid w:val="00F87559"/>
    <w:rsid w:val="00F901E6"/>
    <w:rsid w:val="00F92BA8"/>
    <w:rsid w:val="00FA77F7"/>
    <w:rsid w:val="00FC5BCE"/>
    <w:rsid w:val="00FD4578"/>
    <w:rsid w:val="00FD47E9"/>
    <w:rsid w:val="00FF20ED"/>
    <w:rsid w:val="00FF4F6F"/>
    <w:rsid w:val="066533FE"/>
    <w:rsid w:val="0BAD2EB7"/>
    <w:rsid w:val="0E124706"/>
    <w:rsid w:val="0EC70311"/>
    <w:rsid w:val="0F0D2B98"/>
    <w:rsid w:val="16053EB8"/>
    <w:rsid w:val="168912FC"/>
    <w:rsid w:val="1A191F74"/>
    <w:rsid w:val="1E8C6066"/>
    <w:rsid w:val="1FDF0746"/>
    <w:rsid w:val="28F22238"/>
    <w:rsid w:val="29586DB5"/>
    <w:rsid w:val="29C70E8B"/>
    <w:rsid w:val="2A471EFA"/>
    <w:rsid w:val="2D954A7B"/>
    <w:rsid w:val="31987FD5"/>
    <w:rsid w:val="32201394"/>
    <w:rsid w:val="34160127"/>
    <w:rsid w:val="347B6C25"/>
    <w:rsid w:val="36272658"/>
    <w:rsid w:val="3A9F221A"/>
    <w:rsid w:val="3B0049FC"/>
    <w:rsid w:val="3EB4662C"/>
    <w:rsid w:val="47052B3C"/>
    <w:rsid w:val="47892445"/>
    <w:rsid w:val="483D74EF"/>
    <w:rsid w:val="48FF559A"/>
    <w:rsid w:val="49CB5C92"/>
    <w:rsid w:val="4A1A5724"/>
    <w:rsid w:val="509A0898"/>
    <w:rsid w:val="51F07FD6"/>
    <w:rsid w:val="55906C4A"/>
    <w:rsid w:val="5DB735F9"/>
    <w:rsid w:val="5F823581"/>
    <w:rsid w:val="650F5B13"/>
    <w:rsid w:val="667C106A"/>
    <w:rsid w:val="691E2A6F"/>
    <w:rsid w:val="7C3B0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DE0A7B-A085-4A23-A382-8676C76F5067}">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13</Pages>
  <Words>917</Words>
  <Characters>5231</Characters>
  <Lines>43</Lines>
  <Paragraphs>12</Paragraphs>
  <ScaleCrop>false</ScaleCrop>
  <LinksUpToDate>false</LinksUpToDate>
  <CharactersWithSpaces>6136</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2016-11-05T03:52:00Z</dcterms:created>
  <dc:creator>hp</dc:creator>
  <cp:lastModifiedBy>海阔天空</cp:lastModifiedBy>
  <cp:lastPrinted>2018-04-03T03:11:00Z</cp:lastPrinted>
  <dcterms:modified xsi:type="dcterms:W3CDTF">2018-04-03T03:19:13Z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