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仿宋"/>
          <w:sz w:val="44"/>
          <w:szCs w:val="44"/>
        </w:rPr>
      </w:pPr>
      <w:bookmarkStart w:id="0" w:name="_GoBack"/>
      <w:bookmarkEnd w:id="0"/>
      <w:r>
        <w:rPr>
          <w:rFonts w:hint="eastAsia" w:ascii="方正小标宋简体" w:hAnsi="仿宋" w:eastAsia="方正小标宋简体" w:cs="仿宋"/>
          <w:sz w:val="44"/>
          <w:szCs w:val="44"/>
        </w:rPr>
        <w:t>平顶山市2019年度社会科学调研课题指南</w:t>
      </w:r>
    </w:p>
    <w:p>
      <w:pPr>
        <w:ind w:firstLine="720" w:firstLineChars="225"/>
        <w:rPr>
          <w:rFonts w:ascii="仿宋" w:hAnsi="仿宋" w:eastAsia="仿宋" w:cs="仿宋"/>
          <w:sz w:val="32"/>
          <w:szCs w:val="32"/>
        </w:rPr>
      </w:pP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在平顶山的经济社会文化发展实践中，怎样贯彻落实   党的十九大精神问题研究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如何学懂贯通落实习近平新时代中国特色社会主义思想</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习近平新时代中国特色社会主义思想的平顶山实践</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习近平总书记生态文明建设思想研究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习近平总书记关于加强和改进人民政协工作重要思想的学习和探讨</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市社科界如何落实习近平总书记关于繁荣哲学社会科学重要思想问题研究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平顶山市如何贯彻落实习近平总书记关于河南“三农”问题的战略举措</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如何坚持和加强党对意识形态工作的绝对领导</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40年改革开放的经验总结研究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深刻解读新中国70年历史性变革中、历史性成就背后中国特色社会主义道路、理论、制度、文化优势问题研究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怎样搞好党的创新理论宣讲研究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决胜全面建成小康社会研究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建设具有强大凝聚力、引领力的意识形态工作研究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如何加强党委（党组）落实全面从严治党主体责任</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如何落实党委（党组）意识形态工作责任制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加强对领导干部特别是“一把手”监督问题研究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如何搞好“不忘初心、牢记使命”主题教育</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平顶山城乡融合发展问题研究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平顶山“综合实力高质量重返全省第一方阵”问题研究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让平顶山在中原出彩中出重彩、更精彩问题研究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平顶山市经济增长动力分析研究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如何厚植优势  促进平顶山经济社会发展</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平顶山市优势产业和先导产业发展问题研究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加快提升平顶山市产业集聚能力研究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 xml:space="preserve">关于改善平顶山市投资环境的调查与思考 </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民营经济发展的政策研究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平顶山经济社会文化发展环境问题研究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培育和增强我市发展的软实力研究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加快平顶山企业自主创新  提升产业技术水平</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关于我市民营企业管理现状及水平提升问题研究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如何切实保障民生 努力建设美丽平顶山</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如何推进党的建设 努力建设务实平顶山</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全方位提高平顶山城市品位的思考</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如何大力推进“四城联创”</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如何增强“脑力、眼力、腿力、笔力”实践锻炼问题研究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培育和践行社会主义核心价值观问题研究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 xml:space="preserve">平顶山市公民道德状况分析与对策研究 </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平顶山市文化资源优势转化为经济优势问题研究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高等学校在平顶山文化产业可持续发展中的作用研究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平顶山非物质文化遗产保护开发利用研究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实施品牌带动战略 加快文化产业发展</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深度挖掘整合我市红色文化、汝瓷文化、知青文化、三苏文化、诸葛文化等资源问题研究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平顶山优秀传统文化的传承和发展问题研究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做优做强平顶山文化产业问题研究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平顶山市公共文化设施建设研究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哲学社会科学工作者怎样做到坚持以人民为中心</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哲学社会科学工作者怎样做到用明德引领风尚</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哲学社会科学工作者怎样坚持以精品奉献人民</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哲学社会科学工作者如何坚持与时代同步伐</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如何加强社会科学普及工作的研究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如何发挥好社科界的思想库、智囊团作用</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如何重视发挥社科联在社科界的桥梁纽带作用</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如何重视和用好哲学社会科学研究成果</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如何发挥好青年社科专家在思想库，智囊团中的作用问题研究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在社科普及活动中如何贯彻执行《河南省社会科学普及条例》</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企业高等院校、县（市）区成立社科联问题浅谈</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学会、协会、研究会深入开展社科普及活动的方法举措</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将社科普及纳入公共文化服务体系问题探析</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将社科普及纳入群众性精神文明创建活动问题探索</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社科工作者如何成为先进思想的倡导者、学术研究的开拓者、社会风尚的引领者</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广大社科工作者如何成为党执政的坚定支持者</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如何搞好社会科学普及基地建设</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各级人民政府如何加强对社科普及工作的领导</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如何搞好新型智库建设</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 xml:space="preserve">我市城市低收入群体的现状及帮扶对策研究 </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平顶山乡村振兴战略发展研究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如何实现乡村产业振兴、人才振兴、文化振兴、生态振 兴、组织振兴等五大振兴问题研究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聚焦平顶山市国家农业“两区”建设问题研究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平顶山市精准扶贫问题研究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平顶山农业农村优势发展研究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农民收入持续增长的思路与对策研究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农村贫困人口生活保障问题研究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农村人居环境整治问题研究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平顶山加快发展现代农业对策研究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大力推进农村基础设施建设研究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农村公共文化服务体系建设研究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农业强、农村美、农民富问题研究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如何搞好农业增效、农民增收、农村增绿</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加快转变经济增长方式与改善民生关系研究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基层思想政治工作创新研究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城市、农村基层党组织建设研究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预防和处理人民内部矛盾引发的群体性问题研究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突发事件应急体系建设及管理研究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涉法涉诉信访问题的成因分析及对策研究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社会治理方式创新研究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平顶山国企改革攻坚问题研究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如何搞好平顶山经济、文化、生态等方面的建设</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国家、省、市、县各层面的医疗社会化服务问题研究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我市就业现状存在的问题及对策措施</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平顶山市大中专毕业生自主创业问题与对策研究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如何提高中小学教育质量问题研究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各类学会等民间社团党组织建设问题研究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如何在守正创新培根铸魂中推动社会科学事业强起来</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如何搞好平顶山智库建设</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如何推进基层基础建设</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经济新常态下平顶山产业转型发展路径探析</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提升民营经济发展质量，加快推进支柱产业发展探讨</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平顶山市环境治理攻坚研究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平顶山市创新驱动发展研究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如何推动平顶山旅游业发展研究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平顶山地域文化产业发展研究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如何加快构筑平顶山文化新高地</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新时代传承优良家风构建和谐社会研究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新形势下工运工作探讨</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平顶山市姓氏文化工作现状及发展研究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关于推进我市人大工作高质量发展的思考</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高质量推进百城建设提质工程问题研究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养老服务社会建设问题研究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怎样创建平顶山老工业基地资源型城市产业转型升级示范区问题探索</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平顶山市发展旅游业的优势与策略</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平顶山市工业（遗产）旅游开发模式与创新机制研究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平顶山市生态环境质量监测体系研究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平顶山市转型发展过程中社会风险防控研究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平顶山市生态风险识别与预警机制研究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平顶山市工业旅游资源评价与产品开发研究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平顶山市高层次青年人才工作满意度与离职倾向问题研究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平顶山市环境监管与环境风险应急管理研究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平顶山市转型期城市生态功能优化研究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平顶山尼龙产业与地方高校应用型人才培养模式研究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平顶山加速尼龙产业高质量发展，全力打造中国尼龙城问题研究</w:t>
      </w:r>
    </w:p>
    <w:p>
      <w:pPr>
        <w:numPr>
          <w:ilvl w:val="0"/>
          <w:numId w:val="1"/>
        </w:numPr>
        <w:adjustRightInd w:val="0"/>
        <w:ind w:firstLine="899" w:firstLineChars="281"/>
        <w:rPr>
          <w:rFonts w:hint="eastAsia" w:ascii="仿宋_GB2312" w:hAnsi="仿宋" w:eastAsia="仿宋_GB2312" w:cs="仿宋"/>
          <w:sz w:val="32"/>
          <w:szCs w:val="32"/>
        </w:rPr>
      </w:pPr>
      <w:r>
        <w:rPr>
          <w:rFonts w:hint="eastAsia" w:ascii="仿宋_GB2312" w:hAnsi="仿宋" w:eastAsia="仿宋_GB2312" w:cs="仿宋"/>
          <w:sz w:val="32"/>
          <w:szCs w:val="32"/>
        </w:rPr>
        <w:t>平顶山市尼龙产业园区建设模式与运行机制研究</w:t>
      </w:r>
    </w:p>
    <w:p/>
    <w:sectPr>
      <w:headerReference r:id="rId3" w:type="default"/>
      <w:footerReference r:id="rId4" w:type="default"/>
      <w:footerReference r:id="rId5" w:type="even"/>
      <w:pgSz w:w="11906" w:h="16838"/>
      <w:pgMar w:top="1440" w:right="1701" w:bottom="1440" w:left="1701" w:header="851" w:footer="992" w:gutter="0"/>
      <w:pgNumType w:fmt="numberInDash"/>
      <w:cols w:space="425"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微软雅黑"/>
    <w:panose1 w:val="02010609060101010101"/>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- 8 -</w:t>
    </w:r>
    <w:r>
      <w:rPr>
        <w:rStyle w:val="6"/>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E250C"/>
    <w:multiLevelType w:val="multilevel"/>
    <w:tmpl w:val="4BEE250C"/>
    <w:lvl w:ilvl="0" w:tentative="0">
      <w:start w:val="1"/>
      <w:numFmt w:val="decimal"/>
      <w:lvlText w:val="%1."/>
      <w:lvlJc w:val="right"/>
      <w:pPr>
        <w:tabs>
          <w:tab w:val="left" w:pos="0"/>
        </w:tabs>
        <w:ind w:left="0" w:firstLine="0"/>
      </w:pPr>
      <w:rPr>
        <w:rFonts w:hint="eastAsia"/>
        <w:color w:val="000000"/>
        <w:sz w:val="30"/>
        <w:szCs w:val="3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9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2019-05-08T08:17:34Z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