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48" w:rsidRDefault="002408C9" w:rsidP="002408C9">
      <w:pPr>
        <w:widowControl/>
        <w:shd w:val="clear" w:color="auto" w:fill="FFFFFF"/>
        <w:ind w:firstLine="480"/>
        <w:jc w:val="center"/>
        <w:rPr>
          <w:rFonts w:ascii="Microsoft Yahei" w:eastAsia="微软雅黑" w:hAnsi="Microsoft Yahei" w:cs="宋体" w:hint="eastAsia"/>
          <w:b/>
          <w:bCs/>
          <w:color w:val="333333"/>
          <w:kern w:val="0"/>
          <w:sz w:val="27"/>
        </w:rPr>
      </w:pPr>
      <w:r>
        <w:rPr>
          <w:rFonts w:ascii="Microsoft Yahei" w:eastAsia="微软雅黑" w:hAnsi="Microsoft Yahei" w:cs="宋体" w:hint="eastAsia"/>
          <w:b/>
          <w:bCs/>
          <w:color w:val="333333"/>
          <w:kern w:val="0"/>
          <w:sz w:val="27"/>
        </w:rPr>
        <w:t>研究</w:t>
      </w:r>
      <w:proofErr w:type="gramStart"/>
      <w:r>
        <w:rPr>
          <w:rFonts w:ascii="Microsoft Yahei" w:eastAsia="微软雅黑" w:hAnsi="Microsoft Yahei" w:cs="宋体" w:hint="eastAsia"/>
          <w:b/>
          <w:bCs/>
          <w:color w:val="333333"/>
          <w:kern w:val="0"/>
          <w:sz w:val="27"/>
        </w:rPr>
        <w:t>阐释党</w:t>
      </w:r>
      <w:proofErr w:type="gramEnd"/>
      <w:r>
        <w:rPr>
          <w:rFonts w:ascii="Microsoft Yahei" w:eastAsia="微软雅黑" w:hAnsi="Microsoft Yahei" w:cs="宋体" w:hint="eastAsia"/>
          <w:b/>
          <w:bCs/>
          <w:color w:val="333333"/>
          <w:kern w:val="0"/>
          <w:sz w:val="27"/>
        </w:rPr>
        <w:t>的十九届五中全会精神国家社科基金</w:t>
      </w:r>
    </w:p>
    <w:p w:rsidR="002408C9" w:rsidRDefault="002408C9" w:rsidP="002408C9">
      <w:pPr>
        <w:widowControl/>
        <w:shd w:val="clear" w:color="auto" w:fill="FFFFFF"/>
        <w:ind w:firstLine="480"/>
        <w:jc w:val="center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ascii="Microsoft Yahei" w:eastAsia="微软雅黑" w:hAnsi="Microsoft Yahei" w:cs="宋体" w:hint="eastAsia"/>
          <w:b/>
          <w:bCs/>
          <w:color w:val="333333"/>
          <w:kern w:val="0"/>
          <w:sz w:val="27"/>
        </w:rPr>
        <w:t>重大项目招标课题研究方向</w:t>
      </w:r>
    </w:p>
    <w:p w:rsidR="002408C9" w:rsidRDefault="002408C9" w:rsidP="002408C9">
      <w:pPr>
        <w:widowControl/>
        <w:shd w:val="clear" w:color="auto" w:fill="FFFFFF"/>
        <w:ind w:firstLine="480"/>
        <w:jc w:val="center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 w:hint="eastAsia"/>
          <w:b/>
          <w:bCs/>
          <w:color w:val="333333"/>
          <w:kern w:val="0"/>
          <w:sz w:val="27"/>
        </w:rPr>
        <w:t>（申请者据此可设计具体的研究题目）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开启全面建设社会主义现代化国家新征程研究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决胜全面建成小康社会取得决定性成就和宝贵经验研究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全面建设社会主义现代化新阶段我国发展环境研究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到二〇三五年基本实现社会主义现代化远景目标研究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5 “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十四五</w:t>
      </w: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”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时期经济社会发展指导思想、必须遵循的原则和主要目标研究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6 “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十四五</w:t>
      </w: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”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时期经济社会发展重点任务研究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构建以国内大循环为主体、国内国际双循环相互促进的新发展格局研究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坚持创新驱动发展全面塑造发展新优势研究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科技自立自强与建设科技强国研究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建设综合性国家科学中心和区域性创新高地研究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强化企业创新主体地位、提升企业技术创新能力研究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激发人才创新活力与建设人才强国研究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以创新能力、质量、实效、贡献为导向的科技人才评价体系研究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深入推进科技体制改革、完善国家科技治理体系研究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弘扬科学精神和工匠精神研究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加快发展现代产业体系、推动经济体系优化升级研究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提升产业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链供应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链现代化水平研究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开展质量提升行动与建设质量强国研究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促进平台经济、共享经济健康发展研究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lastRenderedPageBreak/>
        <w:t xml:space="preserve">20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推动现代服务业同先进制造业、现代农业深度融合研究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构建系统完备、高效实用、智能绿色、安全可靠的现代化基础设施体系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加快建设交通强国研究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推进能源革命研究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加快数字化发展与建设数字中国研究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推动数字经济和实体经济深度融合研究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实施扩大内需战略同深化供给侧结构性改革有机结合研究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协同推进强大国内市场和贸易强国建设研究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增强消费对经济发展的基础性作用研究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29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发挥投资对优化供给结构的关键作用研究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形成市场主导的投资内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生增长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机制研究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深化国资国企改革研究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深化国有企业混合所有制改革研究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优化民营经济发展环境构建亲清政商关系研究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健全目标优化、分工合理、高效协同的宏观经济治理体系研究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深化预算管理制度改革研究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建设现代中央银行制度研究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构建金融有效支持实体经济的体制机制研究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深化国有商业银行改革研究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39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推进土地、劳动力、资本、技术、数据等要素市场化改革研究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建设职责明确、依法行政的政府治理体系研究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优化市场化法治化国际化营商环境研究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构建工农互促、城乡互补、协调发展、共同繁荣的新型工农城乡关系研究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lastRenderedPageBreak/>
        <w:t xml:space="preserve">43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提高农业质量效益和竞争力研究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深入实施藏粮于地、藏粮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于技战略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实施乡村建设行动研究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健全城乡融合发展机制研究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探索宅基地所有权、资格权、使用权分置实现形式研究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实现巩固拓展脱贫攻坚成果同乡村振兴有效衔接研究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49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构建高质量发展的国土空间布局和支撑体系研究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推动黄河流域生态保护和高质量发展研究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推进以人为核心的新型城镇化研究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加强特大城市治理中的风险防控研究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建设现代化都市圈研究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推进以县城为重要载体的城镇化建设研究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到二〇三五年建成社会主义文化强国研究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加强党史、新中国史、改革开放史、社会主义发展史教育研究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拓展新时代文明实践中心建设研究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实施文艺作品质量提升工程研究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59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建设长城、大运河、长征、黄河等国家文化公园研究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实施文化产业数字化战略研究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推动绿色发展促进人与自然和谐共生研究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强化绿色发展的法律和政策保障研究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制定二〇三〇年前碳排放达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峰行动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方案研究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建立地上地下、陆海统筹的生态环境治理制度研究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完善中央生态环境保护督察制度研究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积极参与和引领应对气候变化等生态环保国际合作研究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构建以国家公园为主体的自然保护地体系研究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lastRenderedPageBreak/>
        <w:t xml:space="preserve">68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健全自然资源资产产权制度和法律法规研究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69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提高海洋资源、矿产资源开发保护水平研究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建设更高水平开放型经济新体制研究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健全促进和保障境外投资的法律、政策和服务体系研究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完善自由贸易试验区布局研究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稳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慎推进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人民币国际化研究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构筑互利共赢的产业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链供应链合作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积极参与全球经济治理体系改革研究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完善按要素分配政策制度研究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强化就业优先政策、稳定和扩大就业研究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建设高质量教育体系研究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79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发展多层次、多支柱养老保险体系研究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健全退役军人工作体系和保障制度研究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全面推进健康中国建设研究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提高应对突发公共卫生事件能力研究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实施积极应对人口老龄化国家战略研究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制定人口长期发展战略研究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健全党组织领导的自治、法治、德治相结合的城乡基层治理体系研究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加强城乡社区治理和服务体系建设研究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统筹发展和安全、建设更高水平的平安中国研究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坚定维护国家政权安全、制度安全、意识形态安全研究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89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全面加强网络安全保障体系和能力建设研究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加强经济安全风险预警、防控机制和能力建设研究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全面提高公共安全保障能力研究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lastRenderedPageBreak/>
        <w:t xml:space="preserve">92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坚持和发展新时代</w:t>
      </w: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“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枫桥经验</w:t>
      </w: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”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二〇二七年实现建军百年奋斗目标研究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健全新时代军事战略体系研究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构建一体化国家战略体系和能力研究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96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深入总结和学习运用中国共产党一百年的宝贵经验研究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97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全面贯彻新时代党的组织路线研究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98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完善党和国家监督体系研究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99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推进中国特色社会主义政治制度自我完善和发展研究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100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坚持法治国家、法治政府、法治社会一体建设研究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101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落实中央对特别行政区全面管治权研究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102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打造两岸共同市场、壮大中华民族经济研究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103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推动构建新型国际关系和人类命运共同体研究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104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构建人类卫生</w:t>
      </w:r>
      <w:proofErr w:type="gramStart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健康共同体</w:t>
      </w:r>
      <w:proofErr w:type="gramEnd"/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研究</w:t>
      </w:r>
    </w:p>
    <w:p w:rsidR="002408C9" w:rsidRDefault="002408C9" w:rsidP="002408C9">
      <w:pPr>
        <w:widowControl/>
        <w:shd w:val="clear" w:color="auto" w:fill="FFFFFF"/>
        <w:ind w:firstLine="480"/>
        <w:jc w:val="left"/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</w:pP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 xml:space="preserve">105 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完善</w:t>
      </w: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“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十四五</w:t>
      </w:r>
      <w:r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”</w:t>
      </w:r>
      <w:r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  <w:t>发展规划实施监测评估机制研究</w:t>
      </w:r>
    </w:p>
    <w:p w:rsidR="00416463" w:rsidRPr="002408C9" w:rsidRDefault="00416463"/>
    <w:sectPr w:rsidR="00416463" w:rsidRPr="0024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1"/>
    <w:rsid w:val="002408C9"/>
    <w:rsid w:val="00416463"/>
    <w:rsid w:val="007B5711"/>
    <w:rsid w:val="00D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C9"/>
    <w:pPr>
      <w:widowControl w:val="0"/>
      <w:spacing w:line="5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C9"/>
    <w:pPr>
      <w:widowControl w:val="0"/>
      <w:spacing w:line="5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2048</Characters>
  <Application>Microsoft Office Word</Application>
  <DocSecurity>0</DocSecurity>
  <Lines>17</Lines>
  <Paragraphs>4</Paragraphs>
  <ScaleCrop>false</ScaleCrop>
  <Company>平顶山学院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3</cp:revision>
  <dcterms:created xsi:type="dcterms:W3CDTF">2020-12-01T02:40:00Z</dcterms:created>
  <dcterms:modified xsi:type="dcterms:W3CDTF">2020-12-01T02:41:00Z</dcterms:modified>
</cp:coreProperties>
</file>