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42"/>
        <w:ind w:left="111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3"/>
        <w:rPr>
          <w:rFonts w:ascii="黑体"/>
          <w:sz w:val="32"/>
        </w:rPr>
      </w:pPr>
    </w:p>
    <w:p>
      <w:pPr>
        <w:pStyle w:val="3"/>
        <w:spacing w:before="11"/>
        <w:rPr>
          <w:rFonts w:ascii="黑体"/>
          <w:sz w:val="24"/>
        </w:rPr>
      </w:pPr>
    </w:p>
    <w:p>
      <w:pPr>
        <w:pStyle w:val="2"/>
        <w:spacing w:line="295" w:lineRule="auto"/>
        <w:ind w:left="998" w:right="1116" w:hanging="60"/>
        <w:jc w:val="left"/>
      </w:pPr>
      <w:bookmarkStart w:id="0" w:name="_GoBack"/>
      <w:r>
        <w:rPr>
          <w:spacing w:val="5"/>
        </w:rPr>
        <w:t>2021</w:t>
      </w:r>
      <w:r>
        <w:rPr>
          <w:spacing w:val="7"/>
        </w:rPr>
        <w:t xml:space="preserve"> 年河南省高等教育教学改革研究</w:t>
      </w:r>
      <w:r>
        <w:rPr>
          <w:spacing w:val="15"/>
        </w:rPr>
        <w:t>与实践项目（研究生教育）选题方向</w:t>
      </w:r>
    </w:p>
    <w:bookmarkEnd w:id="0"/>
    <w:p>
      <w:pPr>
        <w:pStyle w:val="3"/>
        <w:rPr>
          <w:sz w:val="50"/>
        </w:rPr>
      </w:pPr>
    </w:p>
    <w:p>
      <w:pPr>
        <w:pStyle w:val="7"/>
        <w:numPr>
          <w:ilvl w:val="0"/>
          <w:numId w:val="1"/>
        </w:numPr>
        <w:tabs>
          <w:tab w:val="left" w:pos="1194"/>
        </w:tabs>
        <w:spacing w:before="0" w:after="0" w:line="240" w:lineRule="auto"/>
        <w:ind w:left="1193" w:right="0" w:hanging="481"/>
        <w:jc w:val="left"/>
        <w:rPr>
          <w:sz w:val="31"/>
        </w:rPr>
      </w:pPr>
      <w:r>
        <w:rPr>
          <w:sz w:val="31"/>
        </w:rPr>
        <w:t>世界一流大学和一流学科建设研究与实践</w:t>
      </w:r>
    </w:p>
    <w:p>
      <w:pPr>
        <w:pStyle w:val="7"/>
        <w:numPr>
          <w:ilvl w:val="0"/>
          <w:numId w:val="1"/>
        </w:numPr>
        <w:tabs>
          <w:tab w:val="left" w:pos="1194"/>
        </w:tabs>
        <w:spacing w:before="189" w:after="0" w:line="240" w:lineRule="auto"/>
        <w:ind w:left="1193" w:right="0" w:hanging="481"/>
        <w:jc w:val="left"/>
        <w:rPr>
          <w:sz w:val="31"/>
        </w:rPr>
      </w:pPr>
      <w:r>
        <w:rPr>
          <w:spacing w:val="3"/>
          <w:sz w:val="31"/>
        </w:rPr>
        <w:t>重点学科高质量发展研究与实践</w:t>
      </w:r>
    </w:p>
    <w:p>
      <w:pPr>
        <w:pStyle w:val="7"/>
        <w:numPr>
          <w:ilvl w:val="0"/>
          <w:numId w:val="1"/>
        </w:numPr>
        <w:tabs>
          <w:tab w:val="left" w:pos="1194"/>
        </w:tabs>
        <w:spacing w:before="188" w:after="0" w:line="240" w:lineRule="auto"/>
        <w:ind w:left="1193" w:right="0" w:hanging="481"/>
        <w:jc w:val="left"/>
        <w:rPr>
          <w:sz w:val="31"/>
        </w:rPr>
      </w:pPr>
      <w:r>
        <w:rPr>
          <w:sz w:val="31"/>
        </w:rPr>
        <w:t>学位授予单位及学位授权点立项建设研究与实践</w:t>
      </w:r>
    </w:p>
    <w:p>
      <w:pPr>
        <w:pStyle w:val="7"/>
        <w:numPr>
          <w:ilvl w:val="0"/>
          <w:numId w:val="1"/>
        </w:numPr>
        <w:tabs>
          <w:tab w:val="left" w:pos="1194"/>
        </w:tabs>
        <w:spacing w:before="189" w:after="0" w:line="240" w:lineRule="auto"/>
        <w:ind w:left="1193" w:right="0" w:hanging="481"/>
        <w:jc w:val="left"/>
        <w:rPr>
          <w:sz w:val="31"/>
        </w:rPr>
      </w:pPr>
      <w:r>
        <w:rPr>
          <w:sz w:val="31"/>
        </w:rPr>
        <w:t>学位与研究生教育高质量发展研究与实践</w:t>
      </w:r>
    </w:p>
    <w:p>
      <w:pPr>
        <w:pStyle w:val="7"/>
        <w:numPr>
          <w:ilvl w:val="0"/>
          <w:numId w:val="1"/>
        </w:numPr>
        <w:tabs>
          <w:tab w:val="left" w:pos="1194"/>
        </w:tabs>
        <w:spacing w:before="203" w:after="0" w:line="240" w:lineRule="auto"/>
        <w:ind w:left="1193" w:right="0" w:hanging="481"/>
        <w:jc w:val="left"/>
        <w:rPr>
          <w:sz w:val="31"/>
        </w:rPr>
      </w:pPr>
      <w:r>
        <w:rPr>
          <w:spacing w:val="5"/>
          <w:sz w:val="31"/>
        </w:rPr>
        <w:t>学位管理工作研究与实践</w:t>
      </w:r>
    </w:p>
    <w:p>
      <w:pPr>
        <w:pStyle w:val="7"/>
        <w:numPr>
          <w:ilvl w:val="0"/>
          <w:numId w:val="1"/>
        </w:numPr>
        <w:tabs>
          <w:tab w:val="left" w:pos="1194"/>
        </w:tabs>
        <w:spacing w:before="188" w:after="0" w:line="240" w:lineRule="auto"/>
        <w:ind w:left="1193" w:right="0" w:hanging="481"/>
        <w:jc w:val="left"/>
        <w:rPr>
          <w:sz w:val="31"/>
        </w:rPr>
      </w:pPr>
      <w:r>
        <w:rPr>
          <w:spacing w:val="5"/>
          <w:sz w:val="31"/>
        </w:rPr>
        <w:t>学位信息工作研究与实践</w:t>
      </w:r>
    </w:p>
    <w:p>
      <w:pPr>
        <w:pStyle w:val="7"/>
        <w:numPr>
          <w:ilvl w:val="0"/>
          <w:numId w:val="1"/>
        </w:numPr>
        <w:tabs>
          <w:tab w:val="left" w:pos="1194"/>
        </w:tabs>
        <w:spacing w:before="188" w:after="0" w:line="240" w:lineRule="auto"/>
        <w:ind w:left="1193" w:right="0" w:hanging="481"/>
        <w:jc w:val="left"/>
        <w:rPr>
          <w:sz w:val="31"/>
        </w:rPr>
      </w:pPr>
      <w:r>
        <w:rPr>
          <w:sz w:val="31"/>
        </w:rPr>
        <w:t>学位授予质量保障机制建设研究与实践</w:t>
      </w:r>
    </w:p>
    <w:p>
      <w:pPr>
        <w:pStyle w:val="7"/>
        <w:numPr>
          <w:ilvl w:val="0"/>
          <w:numId w:val="1"/>
        </w:numPr>
        <w:tabs>
          <w:tab w:val="left" w:pos="1194"/>
        </w:tabs>
        <w:spacing w:before="189" w:after="0" w:line="240" w:lineRule="auto"/>
        <w:ind w:left="1193" w:right="0" w:hanging="481"/>
        <w:jc w:val="left"/>
        <w:rPr>
          <w:sz w:val="31"/>
        </w:rPr>
      </w:pPr>
      <w:r>
        <w:rPr>
          <w:sz w:val="31"/>
        </w:rPr>
        <w:t>学位论文质量监督体系构建研究与实践</w:t>
      </w:r>
    </w:p>
    <w:p>
      <w:pPr>
        <w:pStyle w:val="7"/>
        <w:numPr>
          <w:ilvl w:val="0"/>
          <w:numId w:val="1"/>
        </w:numPr>
        <w:tabs>
          <w:tab w:val="left" w:pos="1194"/>
        </w:tabs>
        <w:spacing w:before="188" w:after="0" w:line="240" w:lineRule="auto"/>
        <w:ind w:left="1193" w:right="0" w:hanging="481"/>
        <w:jc w:val="left"/>
        <w:rPr>
          <w:sz w:val="31"/>
        </w:rPr>
      </w:pPr>
      <w:r>
        <w:rPr>
          <w:spacing w:val="2"/>
          <w:sz w:val="31"/>
        </w:rPr>
        <w:t>学位论文质量提升路径研究与实践</w:t>
      </w:r>
    </w:p>
    <w:p>
      <w:pPr>
        <w:pStyle w:val="7"/>
        <w:numPr>
          <w:ilvl w:val="0"/>
          <w:numId w:val="1"/>
        </w:numPr>
        <w:tabs>
          <w:tab w:val="left" w:pos="1359"/>
        </w:tabs>
        <w:spacing w:before="188" w:after="0" w:line="240" w:lineRule="auto"/>
        <w:ind w:left="1358" w:right="0" w:hanging="646"/>
        <w:jc w:val="left"/>
        <w:rPr>
          <w:sz w:val="31"/>
        </w:rPr>
      </w:pPr>
      <w:r>
        <w:rPr>
          <w:sz w:val="31"/>
        </w:rPr>
        <w:t>专业学位研究生教育综合改革研究与实践</w:t>
      </w:r>
    </w:p>
    <w:p>
      <w:pPr>
        <w:pStyle w:val="7"/>
        <w:numPr>
          <w:ilvl w:val="0"/>
          <w:numId w:val="1"/>
        </w:numPr>
        <w:tabs>
          <w:tab w:val="left" w:pos="1359"/>
        </w:tabs>
        <w:spacing w:before="189" w:after="0" w:line="240" w:lineRule="auto"/>
        <w:ind w:left="1358" w:right="0" w:hanging="646"/>
        <w:jc w:val="left"/>
        <w:rPr>
          <w:sz w:val="31"/>
        </w:rPr>
      </w:pPr>
      <w:r>
        <w:rPr>
          <w:spacing w:val="2"/>
          <w:sz w:val="31"/>
        </w:rPr>
        <w:t>研究生培养模式改革研究与实践</w:t>
      </w:r>
    </w:p>
    <w:p>
      <w:pPr>
        <w:pStyle w:val="7"/>
        <w:numPr>
          <w:ilvl w:val="0"/>
          <w:numId w:val="1"/>
        </w:numPr>
        <w:tabs>
          <w:tab w:val="left" w:pos="1359"/>
        </w:tabs>
        <w:spacing w:before="188" w:after="0" w:line="240" w:lineRule="auto"/>
        <w:ind w:left="1358" w:right="0" w:hanging="646"/>
        <w:jc w:val="left"/>
        <w:rPr>
          <w:sz w:val="31"/>
        </w:rPr>
      </w:pPr>
      <w:r>
        <w:rPr>
          <w:spacing w:val="1"/>
          <w:sz w:val="31"/>
        </w:rPr>
        <w:t>研究生思想政治理论教育研究与实践</w:t>
      </w:r>
    </w:p>
    <w:p>
      <w:pPr>
        <w:pStyle w:val="7"/>
        <w:numPr>
          <w:ilvl w:val="0"/>
          <w:numId w:val="1"/>
        </w:numPr>
        <w:tabs>
          <w:tab w:val="left" w:pos="1359"/>
        </w:tabs>
        <w:spacing w:before="203" w:after="0" w:line="240" w:lineRule="auto"/>
        <w:ind w:left="1358" w:right="0" w:hanging="646"/>
        <w:jc w:val="left"/>
        <w:rPr>
          <w:sz w:val="31"/>
        </w:rPr>
      </w:pPr>
      <w:r>
        <w:rPr>
          <w:spacing w:val="2"/>
          <w:sz w:val="31"/>
        </w:rPr>
        <w:t>研究生课程教学改革研究与实践</w:t>
      </w:r>
    </w:p>
    <w:p>
      <w:pPr>
        <w:pStyle w:val="7"/>
        <w:numPr>
          <w:ilvl w:val="0"/>
          <w:numId w:val="1"/>
        </w:numPr>
        <w:tabs>
          <w:tab w:val="left" w:pos="1359"/>
        </w:tabs>
        <w:spacing w:before="189" w:after="0" w:line="240" w:lineRule="auto"/>
        <w:ind w:left="1358" w:right="0" w:hanging="646"/>
        <w:jc w:val="left"/>
        <w:rPr>
          <w:sz w:val="31"/>
        </w:rPr>
      </w:pPr>
      <w:r>
        <w:rPr>
          <w:sz w:val="31"/>
        </w:rPr>
        <w:t>研究生教育管理工作机制体系创新研究与实践</w:t>
      </w:r>
    </w:p>
    <w:p>
      <w:pPr>
        <w:pStyle w:val="7"/>
        <w:numPr>
          <w:ilvl w:val="0"/>
          <w:numId w:val="1"/>
        </w:numPr>
        <w:tabs>
          <w:tab w:val="left" w:pos="1359"/>
        </w:tabs>
        <w:spacing w:before="188" w:after="0" w:line="240" w:lineRule="auto"/>
        <w:ind w:left="1358" w:right="0" w:hanging="646"/>
        <w:jc w:val="left"/>
        <w:rPr>
          <w:sz w:val="20"/>
        </w:rPr>
      </w:pPr>
      <w:r>
        <w:rPr>
          <w:spacing w:val="2"/>
          <w:sz w:val="31"/>
        </w:rPr>
        <w:t>研究生导师队伍建设研究与实</w:t>
      </w:r>
    </w:p>
    <w:sectPr>
      <w:footerReference r:id="rId5" w:type="default"/>
      <w:footerReference r:id="rId6" w:type="even"/>
      <w:pgSz w:w="11910" w:h="16850"/>
      <w:pgMar w:top="1600" w:right="1220" w:bottom="280" w:left="15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8481060</wp:posOffset>
              </wp:positionH>
              <wp:positionV relativeFrom="page">
                <wp:posOffset>6279515</wp:posOffset>
              </wp:positionV>
              <wp:extent cx="788670" cy="216535"/>
              <wp:effectExtent l="0" t="0" r="0" b="0"/>
              <wp:wrapNone/>
              <wp:docPr id="2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1" w:lineRule="exact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>— 25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667.8pt;margin-top:494.45pt;height:17.05pt;width:62.1pt;mso-position-horizontal-relative:page;mso-position-vertical-relative:page;z-index:-251657216;mso-width-relative:page;mso-height-relative:page;" filled="f" stroked="f" coordsize="21600,21600" o:gfxdata="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4gP/fbAAAADgEAAA8AAAAAAAAAAQAgAAAAIgAAAGRycy9kb3ducmV2LnhtbFBL&#10;AQIUABQAAAAIAIdO4kDBuOV4ugEAAHI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1" w:lineRule="exact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— 25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64CFA9"/>
    <w:multiLevelType w:val="multilevel"/>
    <w:tmpl w:val="BB64CFA9"/>
    <w:lvl w:ilvl="0" w:tentative="0">
      <w:start w:val="1"/>
      <w:numFmt w:val="decimal"/>
      <w:lvlText w:val="%1."/>
      <w:lvlJc w:val="left"/>
      <w:pPr>
        <w:ind w:left="1193" w:hanging="481"/>
        <w:jc w:val="left"/>
      </w:pPr>
      <w:rPr>
        <w:rFonts w:hint="default" w:ascii="宋体" w:hAnsi="宋体" w:eastAsia="宋体" w:cs="宋体"/>
        <w:spacing w:val="0"/>
        <w:w w:val="101"/>
        <w:sz w:val="31"/>
        <w:szCs w:val="3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17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34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51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68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85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02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19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36" w:hanging="4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94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53" w:right="757"/>
      <w:jc w:val="center"/>
      <w:outlineLvl w:val="1"/>
    </w:pPr>
    <w:rPr>
      <w:rFonts w:ascii="宋体" w:hAnsi="宋体" w:eastAsia="宋体" w:cs="宋体"/>
      <w:sz w:val="43"/>
      <w:szCs w:val="43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1"/>
      <w:szCs w:val="3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88"/>
      <w:ind w:left="111" w:hanging="481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2021-09-27T10:13:00Z</dcterms:created>
  <dc:creator>文印员</dc:creator>
  <cp:lastModifiedBy>WPS_1482247531</cp:lastModifiedBy>
  <dcterms:modified xsi:type="dcterms:W3CDTF">2021-09-27T10:17:42Z</dcterms:modified>
  <dc:title>教办研〔2018〕701号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2021-09-27T00:00:00Z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923233BF95B948E69A2CD143E23DD340</vt:lpwstr>
  </property>
</Properties>
</file>