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平顶山学院科研机构绩效考核指标（自评）</w:t>
      </w: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（基础研究类）</w:t>
      </w:r>
    </w:p>
    <w:p w:rsidR="00687DE9" w:rsidRDefault="00687DE9" w:rsidP="00687DE9">
      <w:pPr>
        <w:spacing w:line="360" w:lineRule="exact"/>
        <w:rPr>
          <w:rFonts w:ascii="黑体" w:eastAsia="黑体" w:hAnsi="黑体" w:hint="eastAsia"/>
          <w:szCs w:val="21"/>
        </w:rPr>
      </w:pPr>
      <w:r>
        <w:rPr>
          <w:rFonts w:ascii="黑体" w:eastAsia="黑体" w:hAnsi="黑体" w:hint="eastAsia"/>
          <w:szCs w:val="21"/>
        </w:rPr>
        <w:t xml:space="preserve">机构负责人：            依托单位：               所属领域：               </w:t>
      </w: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6"/>
        <w:gridCol w:w="726"/>
        <w:gridCol w:w="4861"/>
        <w:gridCol w:w="874"/>
        <w:gridCol w:w="729"/>
        <w:gridCol w:w="783"/>
        <w:gridCol w:w="678"/>
      </w:tblGrid>
      <w:tr w:rsidR="00687DE9" w:rsidTr="00480544">
        <w:trPr>
          <w:jc w:val="center"/>
        </w:trPr>
        <w:tc>
          <w:tcPr>
            <w:tcW w:w="666" w:type="dxa"/>
            <w:tcMar>
              <w:left w:w="28" w:type="dxa"/>
              <w:right w:w="28" w:type="dxa"/>
            </w:tcMar>
            <w:vAlign w:val="center"/>
          </w:tcPr>
          <w:p w:rsidR="00687DE9" w:rsidRDefault="00687DE9" w:rsidP="00480544">
            <w:pPr>
              <w:snapToGrid w:val="0"/>
              <w:spacing w:line="360" w:lineRule="exact"/>
              <w:jc w:val="center"/>
              <w:rPr>
                <w:rFonts w:ascii="黑体" w:eastAsia="黑体" w:hAnsi="宋体" w:hint="eastAsia"/>
                <w:szCs w:val="21"/>
              </w:rPr>
            </w:pPr>
            <w:r>
              <w:rPr>
                <w:rFonts w:ascii="黑体" w:eastAsia="黑体" w:hAnsi="宋体" w:hint="eastAsia"/>
                <w:szCs w:val="21"/>
              </w:rPr>
              <w:t>一级</w:t>
            </w:r>
          </w:p>
          <w:p w:rsidR="00687DE9" w:rsidRDefault="00687DE9" w:rsidP="00480544">
            <w:pPr>
              <w:snapToGrid w:val="0"/>
              <w:spacing w:line="360" w:lineRule="exact"/>
              <w:jc w:val="center"/>
              <w:rPr>
                <w:rFonts w:ascii="黑体" w:eastAsia="黑体" w:hAnsi="宋体" w:hint="eastAsia"/>
                <w:szCs w:val="21"/>
              </w:rPr>
            </w:pPr>
            <w:r>
              <w:rPr>
                <w:rFonts w:ascii="黑体" w:eastAsia="黑体" w:hAnsi="宋体" w:hint="eastAsia"/>
                <w:szCs w:val="21"/>
              </w:rPr>
              <w:t>指标</w:t>
            </w:r>
          </w:p>
        </w:tc>
        <w:tc>
          <w:tcPr>
            <w:tcW w:w="726" w:type="dxa"/>
            <w:tcMar>
              <w:left w:w="28" w:type="dxa"/>
              <w:right w:w="28" w:type="dxa"/>
            </w:tcMar>
            <w:vAlign w:val="center"/>
          </w:tcPr>
          <w:p w:rsidR="00687DE9" w:rsidRDefault="00687DE9" w:rsidP="00480544">
            <w:pPr>
              <w:snapToGrid w:val="0"/>
              <w:spacing w:line="360" w:lineRule="exact"/>
              <w:jc w:val="center"/>
              <w:rPr>
                <w:rFonts w:ascii="黑体" w:eastAsia="黑体" w:hAnsi="宋体" w:hint="eastAsia"/>
                <w:szCs w:val="21"/>
              </w:rPr>
            </w:pPr>
            <w:r>
              <w:rPr>
                <w:rFonts w:ascii="黑体" w:eastAsia="黑体" w:hAnsi="宋体" w:hint="eastAsia"/>
                <w:szCs w:val="21"/>
              </w:rPr>
              <w:t>二级</w:t>
            </w:r>
          </w:p>
          <w:p w:rsidR="00687DE9" w:rsidRDefault="00687DE9" w:rsidP="00480544">
            <w:pPr>
              <w:snapToGrid w:val="0"/>
              <w:spacing w:line="360" w:lineRule="exact"/>
              <w:jc w:val="center"/>
              <w:rPr>
                <w:rFonts w:ascii="黑体" w:eastAsia="黑体" w:hAnsi="宋体" w:hint="eastAsia"/>
                <w:szCs w:val="21"/>
              </w:rPr>
            </w:pPr>
            <w:r>
              <w:rPr>
                <w:rFonts w:ascii="黑体" w:eastAsia="黑体" w:hAnsi="宋体" w:hint="eastAsia"/>
                <w:szCs w:val="21"/>
              </w:rPr>
              <w:t>指标</w:t>
            </w:r>
          </w:p>
        </w:tc>
        <w:tc>
          <w:tcPr>
            <w:tcW w:w="4861" w:type="dxa"/>
            <w:tcMar>
              <w:left w:w="28" w:type="dxa"/>
              <w:right w:w="28" w:type="dxa"/>
            </w:tcMar>
            <w:vAlign w:val="center"/>
          </w:tcPr>
          <w:p w:rsidR="00687DE9" w:rsidRDefault="00687DE9" w:rsidP="00480544">
            <w:pPr>
              <w:snapToGrid w:val="0"/>
              <w:spacing w:line="360" w:lineRule="exact"/>
              <w:jc w:val="center"/>
              <w:rPr>
                <w:rFonts w:ascii="黑体" w:eastAsia="黑体" w:hAnsi="宋体" w:hint="eastAsia"/>
                <w:szCs w:val="21"/>
              </w:rPr>
            </w:pPr>
            <w:r>
              <w:rPr>
                <w:rFonts w:ascii="黑体" w:eastAsia="黑体" w:hAnsi="宋体" w:hint="eastAsia"/>
                <w:szCs w:val="21"/>
              </w:rPr>
              <w:t>评价内容</w:t>
            </w:r>
          </w:p>
        </w:tc>
        <w:tc>
          <w:tcPr>
            <w:tcW w:w="874" w:type="dxa"/>
            <w:tcMar>
              <w:left w:w="28" w:type="dxa"/>
              <w:right w:w="28" w:type="dxa"/>
            </w:tcMar>
            <w:vAlign w:val="center"/>
          </w:tcPr>
          <w:p w:rsidR="00687DE9" w:rsidRDefault="00687DE9" w:rsidP="00480544">
            <w:pPr>
              <w:snapToGrid w:val="0"/>
              <w:spacing w:line="360" w:lineRule="exact"/>
              <w:jc w:val="center"/>
              <w:rPr>
                <w:rFonts w:ascii="黑体" w:eastAsia="黑体" w:hAnsi="宋体"/>
                <w:spacing w:val="-12"/>
                <w:szCs w:val="21"/>
              </w:rPr>
            </w:pPr>
            <w:r>
              <w:rPr>
                <w:rFonts w:ascii="黑体" w:eastAsia="黑体" w:hAnsi="宋体" w:hint="eastAsia"/>
                <w:spacing w:val="-12"/>
                <w:szCs w:val="21"/>
              </w:rPr>
              <w:t>基础</w:t>
            </w:r>
          </w:p>
          <w:p w:rsidR="00687DE9" w:rsidRDefault="00687DE9" w:rsidP="00480544">
            <w:pPr>
              <w:snapToGrid w:val="0"/>
              <w:spacing w:line="360" w:lineRule="exact"/>
              <w:jc w:val="center"/>
              <w:rPr>
                <w:rFonts w:ascii="黑体" w:eastAsia="黑体" w:hAnsi="宋体" w:hint="eastAsia"/>
                <w:spacing w:val="-12"/>
                <w:szCs w:val="21"/>
              </w:rPr>
            </w:pPr>
            <w:r>
              <w:rPr>
                <w:rFonts w:ascii="黑体" w:eastAsia="黑体" w:hAnsi="宋体" w:hint="eastAsia"/>
                <w:spacing w:val="-12"/>
                <w:szCs w:val="21"/>
              </w:rPr>
              <w:t>得分</w:t>
            </w:r>
          </w:p>
        </w:tc>
        <w:tc>
          <w:tcPr>
            <w:tcW w:w="729" w:type="dxa"/>
            <w:tcMar>
              <w:left w:w="28" w:type="dxa"/>
              <w:right w:w="28" w:type="dxa"/>
            </w:tcMar>
            <w:vAlign w:val="center"/>
          </w:tcPr>
          <w:p w:rsidR="00687DE9" w:rsidRDefault="00687DE9" w:rsidP="00480544">
            <w:pPr>
              <w:snapToGrid w:val="0"/>
              <w:spacing w:line="360" w:lineRule="exact"/>
              <w:jc w:val="center"/>
              <w:rPr>
                <w:rFonts w:ascii="黑体" w:eastAsia="黑体" w:hAnsi="宋体" w:hint="eastAsia"/>
                <w:spacing w:val="-12"/>
                <w:szCs w:val="21"/>
              </w:rPr>
            </w:pPr>
            <w:r>
              <w:rPr>
                <w:rFonts w:ascii="黑体" w:eastAsia="黑体" w:hAnsi="宋体" w:hint="eastAsia"/>
                <w:spacing w:val="-12"/>
                <w:szCs w:val="21"/>
              </w:rPr>
              <w:t>项数</w:t>
            </w:r>
          </w:p>
        </w:tc>
        <w:tc>
          <w:tcPr>
            <w:tcW w:w="783" w:type="dxa"/>
            <w:tcMar>
              <w:left w:w="28" w:type="dxa"/>
              <w:right w:w="28" w:type="dxa"/>
            </w:tcMar>
            <w:vAlign w:val="center"/>
          </w:tcPr>
          <w:p w:rsidR="00687DE9" w:rsidRDefault="00687DE9" w:rsidP="00480544">
            <w:pPr>
              <w:snapToGrid w:val="0"/>
              <w:spacing w:line="360" w:lineRule="exact"/>
              <w:jc w:val="center"/>
              <w:rPr>
                <w:rFonts w:ascii="黑体" w:eastAsia="黑体" w:hAnsi="宋体"/>
                <w:spacing w:val="-12"/>
                <w:szCs w:val="21"/>
              </w:rPr>
            </w:pPr>
            <w:r>
              <w:rPr>
                <w:rFonts w:ascii="黑体" w:eastAsia="黑体" w:hAnsi="宋体" w:hint="eastAsia"/>
                <w:spacing w:val="-12"/>
                <w:szCs w:val="21"/>
              </w:rPr>
              <w:t>单项</w:t>
            </w:r>
          </w:p>
          <w:p w:rsidR="00687DE9" w:rsidRDefault="00687DE9" w:rsidP="00480544">
            <w:pPr>
              <w:snapToGrid w:val="0"/>
              <w:spacing w:line="360" w:lineRule="exact"/>
              <w:jc w:val="center"/>
              <w:rPr>
                <w:rFonts w:ascii="黑体" w:eastAsia="黑体" w:hAnsi="宋体" w:hint="eastAsia"/>
                <w:spacing w:val="-12"/>
                <w:szCs w:val="21"/>
              </w:rPr>
            </w:pPr>
            <w:r>
              <w:rPr>
                <w:rFonts w:ascii="黑体" w:eastAsia="黑体" w:hAnsi="宋体" w:hint="eastAsia"/>
                <w:spacing w:val="-12"/>
                <w:szCs w:val="21"/>
              </w:rPr>
              <w:t>得分</w:t>
            </w:r>
          </w:p>
        </w:tc>
        <w:tc>
          <w:tcPr>
            <w:tcW w:w="678" w:type="dxa"/>
            <w:tcMar>
              <w:left w:w="28" w:type="dxa"/>
              <w:right w:w="28" w:type="dxa"/>
            </w:tcMar>
            <w:vAlign w:val="center"/>
          </w:tcPr>
          <w:p w:rsidR="00687DE9" w:rsidRDefault="00687DE9" w:rsidP="00480544">
            <w:pPr>
              <w:snapToGrid w:val="0"/>
              <w:spacing w:line="360" w:lineRule="exact"/>
              <w:jc w:val="center"/>
              <w:rPr>
                <w:rFonts w:ascii="黑体" w:eastAsia="黑体" w:hAnsi="宋体" w:hint="eastAsia"/>
                <w:spacing w:val="-12"/>
                <w:szCs w:val="21"/>
              </w:rPr>
            </w:pPr>
            <w:r>
              <w:rPr>
                <w:rFonts w:ascii="黑体" w:eastAsia="黑体" w:hAnsi="宋体" w:hint="eastAsia"/>
                <w:spacing w:val="-12"/>
                <w:szCs w:val="21"/>
              </w:rPr>
              <w:t>总得分</w:t>
            </w:r>
          </w:p>
        </w:tc>
      </w:tr>
      <w:tr w:rsidR="00687DE9" w:rsidTr="00480544">
        <w:trPr>
          <w:jc w:val="center"/>
        </w:trPr>
        <w:tc>
          <w:tcPr>
            <w:tcW w:w="666" w:type="dxa"/>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hint="eastAsia"/>
                <w:szCs w:val="21"/>
              </w:rPr>
              <w:t>代</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hint="eastAsia"/>
                <w:szCs w:val="21"/>
              </w:rPr>
              <w:t>表</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hint="eastAsia"/>
                <w:szCs w:val="21"/>
              </w:rPr>
              <w:t>性</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hint="eastAsia"/>
                <w:szCs w:val="21"/>
              </w:rPr>
              <w:t>成</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hint="eastAsia"/>
                <w:szCs w:val="21"/>
              </w:rPr>
              <w:t>果</w:t>
            </w:r>
          </w:p>
          <w:p w:rsidR="00687DE9" w:rsidRDefault="00687DE9" w:rsidP="00480544">
            <w:pPr>
              <w:snapToGrid w:val="0"/>
              <w:spacing w:line="360" w:lineRule="exact"/>
              <w:jc w:val="center"/>
              <w:rPr>
                <w:rFonts w:ascii="仿宋_GB2312" w:eastAsia="仿宋_GB2312" w:hAnsi="宋体" w:hint="eastAsia"/>
                <w:szCs w:val="21"/>
              </w:rPr>
            </w:pPr>
          </w:p>
        </w:tc>
        <w:tc>
          <w:tcPr>
            <w:tcW w:w="726" w:type="dxa"/>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原始</w:t>
            </w:r>
          </w:p>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创新</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cs="宋体" w:hint="eastAsia"/>
                <w:spacing w:val="-12"/>
                <w:szCs w:val="21"/>
              </w:rPr>
              <w:t>能力</w:t>
            </w: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一级论文</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val="restart"/>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二级、三级论文；</w:t>
            </w:r>
          </w:p>
          <w:p w:rsidR="00687DE9" w:rsidRDefault="00687DE9" w:rsidP="00480544">
            <w:pPr>
              <w:snapToGrid w:val="0"/>
              <w:spacing w:line="360" w:lineRule="exact"/>
              <w:rPr>
                <w:rFonts w:ascii="仿宋_GB2312" w:eastAsia="仿宋_GB2312" w:hAnsi="宋体" w:hint="eastAsia"/>
                <w:szCs w:val="21"/>
              </w:rPr>
            </w:pPr>
            <w:bookmarkStart w:id="0" w:name="OLE_LINK2"/>
            <w:r>
              <w:rPr>
                <w:rFonts w:ascii="仿宋_GB2312" w:eastAsia="仿宋_GB2312" w:hAnsi="宋体" w:hint="eastAsia"/>
                <w:szCs w:val="21"/>
              </w:rPr>
              <w:t>A类出版社出版的学术著作</w:t>
            </w:r>
            <w:bookmarkEnd w:id="0"/>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150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四级论文；</w:t>
            </w:r>
          </w:p>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B类出版社出版的学术著作</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60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五级、六级论文；</w:t>
            </w:r>
          </w:p>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一般出版社出版的学术著作</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七级、八级论文</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cs="宋体" w:hint="eastAsia"/>
                <w:spacing w:val="-12"/>
                <w:kern w:val="0"/>
                <w:szCs w:val="21"/>
              </w:rPr>
              <w:t>获得PCT（美、日、德）国际发明专利</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cs="宋体" w:hint="eastAsia"/>
                <w:spacing w:val="-12"/>
                <w:kern w:val="0"/>
                <w:szCs w:val="21"/>
              </w:rPr>
              <w:t>50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cs="宋体" w:hint="eastAsia"/>
                <w:spacing w:val="-12"/>
                <w:kern w:val="0"/>
                <w:szCs w:val="21"/>
              </w:rPr>
              <w:t>获得国内发明专利</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cs="宋体" w:hint="eastAsia"/>
                <w:spacing w:val="-12"/>
                <w:kern w:val="0"/>
                <w:szCs w:val="21"/>
              </w:rPr>
              <w:t>30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国家级项目</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Borders>
              <w:bottom w:val="single" w:sz="4" w:space="0" w:color="auto"/>
            </w:tcBorders>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省部级项目</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Borders>
              <w:bottom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val="restart"/>
            <w:tcBorders>
              <w:top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满足</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科技</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需求</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cs="宋体" w:hint="eastAsia"/>
                <w:spacing w:val="-12"/>
                <w:kern w:val="0"/>
                <w:szCs w:val="21"/>
              </w:rPr>
              <w:t>能力</w:t>
            </w: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横向项目到账经费每10万元</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val="restart"/>
            <w:tcBorders>
              <w:top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cs="宋体" w:hint="eastAsia"/>
                <w:spacing w:val="-12"/>
                <w:kern w:val="0"/>
                <w:szCs w:val="21"/>
              </w:rPr>
              <w:t>课题鉴定（含结项）、专利、新产品证书、新品种证书、新药证书和软件著作权等的转化，转化金额每10万元</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cs="宋体" w:hint="eastAsia"/>
                <w:spacing w:val="-12"/>
                <w:kern w:val="0"/>
                <w:szCs w:val="21"/>
              </w:rPr>
              <w:t>30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国家级新产品、新技术、新</w:t>
            </w:r>
            <w:bookmarkStart w:id="1" w:name="_GoBack"/>
            <w:bookmarkEnd w:id="1"/>
            <w:r>
              <w:rPr>
                <w:rFonts w:ascii="仿宋_GB2312" w:eastAsia="仿宋_GB2312" w:hAnsi="宋体" w:hint="eastAsia"/>
                <w:szCs w:val="21"/>
              </w:rPr>
              <w:t>工艺；国家新标准</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500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Pr="00687DE9" w:rsidRDefault="00687DE9" w:rsidP="00480544">
            <w:pPr>
              <w:snapToGrid w:val="0"/>
              <w:spacing w:line="360" w:lineRule="exact"/>
              <w:rPr>
                <w:rFonts w:ascii="仿宋_GB2312" w:eastAsia="仿宋_GB2312" w:hAnsi="宋体" w:cs="宋体" w:hint="eastAsia"/>
                <w:spacing w:val="-12"/>
                <w:kern w:val="0"/>
                <w:szCs w:val="21"/>
              </w:rPr>
            </w:pPr>
            <w:r w:rsidRPr="00687DE9">
              <w:rPr>
                <w:rFonts w:ascii="仿宋_GB2312" w:eastAsia="仿宋_GB2312" w:hAnsi="宋体" w:hint="eastAsia"/>
                <w:szCs w:val="21"/>
              </w:rPr>
              <w:t>省级</w:t>
            </w:r>
            <w:r w:rsidRPr="00687DE9">
              <w:rPr>
                <w:rStyle w:val="a5"/>
                <w:rFonts w:ascii="仿宋_GB2312" w:eastAsia="仿宋_GB2312" w:hAnsi="宋体" w:hint="eastAsia"/>
                <w:color w:val="auto"/>
                <w:szCs w:val="21"/>
              </w:rPr>
              <w:t>新产品、新</w:t>
            </w:r>
            <w:r w:rsidRPr="00687DE9">
              <w:rPr>
                <w:rFonts w:ascii="仿宋_GB2312" w:eastAsia="仿宋_GB2312" w:hAnsi="宋体" w:hint="eastAsia"/>
                <w:szCs w:val="21"/>
              </w:rPr>
              <w:t>技术</w:t>
            </w:r>
            <w:r w:rsidRPr="00687DE9">
              <w:rPr>
                <w:rStyle w:val="a5"/>
                <w:rFonts w:ascii="仿宋_GB2312" w:eastAsia="仿宋_GB2312" w:hAnsi="宋体" w:hint="eastAsia"/>
                <w:color w:val="auto"/>
                <w:szCs w:val="21"/>
              </w:rPr>
              <w:t>、新工艺、</w:t>
            </w:r>
            <w:r w:rsidRPr="00687DE9">
              <w:rPr>
                <w:rFonts w:ascii="仿宋_GB2312" w:eastAsia="仿宋_GB2312" w:hAnsi="宋体" w:hint="eastAsia"/>
                <w:szCs w:val="21"/>
              </w:rPr>
              <w:t>新标准；行业新标准</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200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Pr="00687DE9" w:rsidRDefault="00687DE9" w:rsidP="00480544">
            <w:pPr>
              <w:snapToGrid w:val="0"/>
              <w:spacing w:line="360" w:lineRule="exact"/>
              <w:rPr>
                <w:rFonts w:ascii="仿宋_GB2312" w:eastAsia="仿宋_GB2312" w:hAnsi="宋体" w:cs="宋体" w:hint="eastAsia"/>
                <w:spacing w:val="-12"/>
                <w:kern w:val="0"/>
                <w:szCs w:val="21"/>
              </w:rPr>
            </w:pPr>
            <w:r w:rsidRPr="00687DE9">
              <w:rPr>
                <w:rStyle w:val="a5"/>
                <w:rFonts w:ascii="仿宋_GB2312" w:eastAsia="仿宋_GB2312" w:hAnsi="宋体" w:hint="eastAsia"/>
                <w:color w:val="auto"/>
                <w:szCs w:val="21"/>
              </w:rPr>
              <w:t>市级新产品、新</w:t>
            </w:r>
            <w:r w:rsidRPr="00687DE9">
              <w:rPr>
                <w:rFonts w:ascii="仿宋_GB2312" w:eastAsia="仿宋_GB2312" w:hAnsi="宋体" w:hint="eastAsia"/>
                <w:szCs w:val="21"/>
              </w:rPr>
              <w:t>技术</w:t>
            </w:r>
            <w:r w:rsidRPr="00687DE9">
              <w:rPr>
                <w:rStyle w:val="a5"/>
                <w:rFonts w:ascii="仿宋_GB2312" w:eastAsia="仿宋_GB2312" w:hAnsi="宋体" w:hint="eastAsia"/>
                <w:color w:val="auto"/>
                <w:szCs w:val="21"/>
              </w:rPr>
              <w:t>、新工艺；</w:t>
            </w:r>
            <w:r w:rsidRPr="00687DE9">
              <w:rPr>
                <w:rFonts w:ascii="仿宋_GB2312" w:eastAsia="仿宋_GB2312" w:hAnsi="宋体" w:hint="eastAsia"/>
                <w:szCs w:val="21"/>
              </w:rPr>
              <w:t>地方新标准</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前沿</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竞争</w:t>
            </w:r>
          </w:p>
          <w:p w:rsidR="00687DE9" w:rsidRDefault="00687DE9" w:rsidP="00480544">
            <w:pPr>
              <w:snapToGrid w:val="0"/>
              <w:spacing w:line="360" w:lineRule="exact"/>
              <w:jc w:val="center"/>
              <w:rPr>
                <w:rFonts w:ascii="仿宋_GB2312" w:eastAsia="仿宋_GB2312" w:hAnsi="宋体" w:hint="eastAsia"/>
                <w:szCs w:val="21"/>
              </w:rPr>
            </w:pPr>
            <w:r>
              <w:rPr>
                <w:rFonts w:ascii="仿宋_GB2312" w:eastAsia="仿宋_GB2312" w:hAnsi="宋体" w:cs="宋体" w:hint="eastAsia"/>
                <w:spacing w:val="-12"/>
                <w:kern w:val="0"/>
                <w:szCs w:val="21"/>
              </w:rPr>
              <w:t>力</w:t>
            </w: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国家自然科学奖、技术发明奖、科技进步奖一等奖</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val="restart"/>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国家自然科学奖、技术发明奖、科技进步奖二等奖；</w:t>
            </w:r>
          </w:p>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省部级科技奖一等奖</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400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省部级科技奖二等奖</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省部级科技奖三等奖；</w:t>
            </w:r>
          </w:p>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厅级科研成果奖一等奖、自然科学学术一等奖</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r w:rsidR="00687DE9" w:rsidTr="00480544">
        <w:trPr>
          <w:jc w:val="center"/>
        </w:trPr>
        <w:tc>
          <w:tcPr>
            <w:tcW w:w="66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726" w:type="dxa"/>
            <w:vMerge/>
            <w:tcMar>
              <w:left w:w="28" w:type="dxa"/>
              <w:right w:w="28" w:type="dxa"/>
            </w:tcMar>
          </w:tcPr>
          <w:p w:rsidR="00687DE9" w:rsidRDefault="00687DE9" w:rsidP="00480544">
            <w:pPr>
              <w:snapToGrid w:val="0"/>
              <w:spacing w:line="360" w:lineRule="exact"/>
              <w:rPr>
                <w:rFonts w:ascii="仿宋_GB2312" w:eastAsia="仿宋_GB2312" w:hAnsi="宋体" w:hint="eastAsia"/>
                <w:szCs w:val="21"/>
              </w:rPr>
            </w:pPr>
          </w:p>
        </w:tc>
        <w:tc>
          <w:tcPr>
            <w:tcW w:w="4861" w:type="dxa"/>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厅级科研成果奖二等奖、自然科学学术二等奖；</w:t>
            </w:r>
          </w:p>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省社科联、科协科研成果一等奖</w:t>
            </w:r>
          </w:p>
        </w:tc>
        <w:tc>
          <w:tcPr>
            <w:tcW w:w="874"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60</w:t>
            </w:r>
          </w:p>
        </w:tc>
        <w:tc>
          <w:tcPr>
            <w:tcW w:w="729"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783" w:type="dxa"/>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p>
        </w:tc>
        <w:tc>
          <w:tcPr>
            <w:tcW w:w="678" w:type="dxa"/>
            <w:vMerge/>
            <w:tcMar>
              <w:left w:w="28" w:type="dxa"/>
              <w:right w:w="28" w:type="dxa"/>
            </w:tcMar>
            <w:vAlign w:val="center"/>
          </w:tcPr>
          <w:p w:rsidR="00687DE9" w:rsidRDefault="00687DE9" w:rsidP="00480544">
            <w:pPr>
              <w:snapToGrid w:val="0"/>
              <w:spacing w:line="360" w:lineRule="exact"/>
              <w:jc w:val="center"/>
              <w:rPr>
                <w:rFonts w:ascii="仿宋_GB2312" w:hAnsi="宋体" w:hint="eastAsia"/>
                <w:spacing w:val="-12"/>
                <w:szCs w:val="21"/>
              </w:rPr>
            </w:pPr>
          </w:p>
        </w:tc>
      </w:tr>
    </w:tbl>
    <w:p w:rsidR="00687DE9" w:rsidRDefault="00687DE9" w:rsidP="00687DE9">
      <w:pPr>
        <w:spacing w:line="560" w:lineRule="exact"/>
        <w:rPr>
          <w:rFonts w:ascii="黑体" w:eastAsia="黑体" w:hAnsi="黑体" w:hint="eastAsia"/>
          <w:sz w:val="32"/>
          <w:szCs w:val="32"/>
        </w:rPr>
      </w:pPr>
    </w:p>
    <w:p w:rsidR="00687DE9" w:rsidRDefault="00687DE9" w:rsidP="00687DE9">
      <w:pPr>
        <w:snapToGrid w:val="0"/>
        <w:jc w:val="center"/>
        <w:rPr>
          <w:rFonts w:ascii="黑体" w:eastAsia="黑体" w:hAnsi="黑体"/>
          <w:sz w:val="40"/>
          <w:szCs w:val="44"/>
        </w:rPr>
        <w:sectPr w:rsidR="00687DE9">
          <w:pgSz w:w="11906" w:h="16838"/>
          <w:pgMar w:top="1985" w:right="1474" w:bottom="2098" w:left="1588" w:header="851" w:footer="992" w:gutter="0"/>
          <w:cols w:space="720"/>
          <w:docGrid w:type="lines" w:linePitch="312"/>
        </w:sectPr>
      </w:pP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lastRenderedPageBreak/>
        <w:t>平顶山学院科研机构绩效考核指标（自评）</w:t>
      </w: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（应用研究类）</w:t>
      </w:r>
    </w:p>
    <w:p w:rsidR="00687DE9" w:rsidRDefault="00687DE9" w:rsidP="00687DE9">
      <w:pPr>
        <w:spacing w:line="360" w:lineRule="exact"/>
        <w:rPr>
          <w:rFonts w:ascii="黑体" w:eastAsia="黑体" w:hAnsi="黑体" w:hint="eastAsia"/>
          <w:szCs w:val="21"/>
        </w:rPr>
      </w:pPr>
      <w:r>
        <w:rPr>
          <w:rFonts w:ascii="黑体" w:eastAsia="黑体" w:hAnsi="黑体" w:hint="eastAsia"/>
          <w:szCs w:val="21"/>
        </w:rPr>
        <w:t xml:space="preserve">机构负责人：            依托单位：               所属领域：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0"/>
        <w:gridCol w:w="908"/>
        <w:gridCol w:w="4170"/>
        <w:gridCol w:w="721"/>
        <w:gridCol w:w="723"/>
        <w:gridCol w:w="721"/>
        <w:gridCol w:w="721"/>
      </w:tblGrid>
      <w:tr w:rsidR="00687DE9" w:rsidTr="00480544">
        <w:tc>
          <w:tcPr>
            <w:tcW w:w="492"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一级</w:t>
            </w:r>
          </w:p>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指标</w:t>
            </w:r>
          </w:p>
        </w:tc>
        <w:tc>
          <w:tcPr>
            <w:tcW w:w="514"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二级</w:t>
            </w:r>
          </w:p>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指标</w:t>
            </w:r>
          </w:p>
        </w:tc>
        <w:tc>
          <w:tcPr>
            <w:tcW w:w="2360"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评价内容</w:t>
            </w:r>
          </w:p>
        </w:tc>
        <w:tc>
          <w:tcPr>
            <w:tcW w:w="408"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基础</w:t>
            </w:r>
          </w:p>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得分</w:t>
            </w:r>
          </w:p>
        </w:tc>
        <w:tc>
          <w:tcPr>
            <w:tcW w:w="409"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项数</w:t>
            </w:r>
          </w:p>
        </w:tc>
        <w:tc>
          <w:tcPr>
            <w:tcW w:w="408"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单项</w:t>
            </w:r>
          </w:p>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得分</w:t>
            </w:r>
          </w:p>
        </w:tc>
        <w:tc>
          <w:tcPr>
            <w:tcW w:w="408" w:type="pct"/>
            <w:tcMar>
              <w:left w:w="28" w:type="dxa"/>
              <w:right w:w="28" w:type="dxa"/>
            </w:tcMar>
            <w:vAlign w:val="center"/>
          </w:tcPr>
          <w:p w:rsidR="00687DE9" w:rsidRDefault="00687DE9" w:rsidP="00480544">
            <w:pPr>
              <w:snapToGrid w:val="0"/>
              <w:jc w:val="center"/>
              <w:rPr>
                <w:rFonts w:ascii="黑体" w:eastAsia="黑体" w:hAnsi="黑体" w:cs="宋体" w:hint="eastAsia"/>
                <w:spacing w:val="-12"/>
                <w:kern w:val="0"/>
                <w:szCs w:val="21"/>
              </w:rPr>
            </w:pPr>
            <w:r>
              <w:rPr>
                <w:rFonts w:ascii="黑体" w:eastAsia="黑体" w:hAnsi="黑体" w:cs="宋体" w:hint="eastAsia"/>
                <w:spacing w:val="-12"/>
                <w:kern w:val="0"/>
                <w:szCs w:val="21"/>
              </w:rPr>
              <w:t>总得分</w:t>
            </w:r>
          </w:p>
        </w:tc>
      </w:tr>
      <w:tr w:rsidR="00687DE9" w:rsidTr="00480544">
        <w:tc>
          <w:tcPr>
            <w:tcW w:w="492"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代</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表</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性</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成</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果</w:t>
            </w:r>
          </w:p>
        </w:tc>
        <w:tc>
          <w:tcPr>
            <w:tcW w:w="514"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原始</w:t>
            </w:r>
          </w:p>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创新</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szCs w:val="21"/>
              </w:rPr>
              <w:t>能力</w:t>
            </w:r>
          </w:p>
        </w:tc>
        <w:tc>
          <w:tcPr>
            <w:tcW w:w="2360" w:type="pct"/>
            <w:tcMar>
              <w:left w:w="28" w:type="dxa"/>
              <w:right w:w="28" w:type="dxa"/>
            </w:tcMar>
            <w:vAlign w:val="center"/>
          </w:tcPr>
          <w:p w:rsidR="00687DE9" w:rsidRDefault="00687DE9" w:rsidP="00480544">
            <w:pPr>
              <w:snapToGrid w:val="0"/>
              <w:spacing w:line="360" w:lineRule="exact"/>
              <w:jc w:val="left"/>
              <w:rPr>
                <w:rFonts w:ascii="仿宋_GB2312" w:eastAsia="仿宋_GB2312" w:hAnsi="宋体" w:cs="宋体" w:hint="eastAsia"/>
                <w:spacing w:val="-12"/>
                <w:kern w:val="0"/>
                <w:szCs w:val="21"/>
              </w:rPr>
            </w:pPr>
            <w:r>
              <w:rPr>
                <w:rFonts w:ascii="仿宋_GB2312" w:eastAsia="仿宋_GB2312" w:hAnsi="宋体" w:hint="eastAsia"/>
                <w:szCs w:val="21"/>
              </w:rPr>
              <w:t>一级论文</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500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val="restart"/>
            <w:tcMar>
              <w:left w:w="28" w:type="dxa"/>
              <w:right w:w="28" w:type="dxa"/>
            </w:tcMar>
            <w:vAlign w:val="center"/>
          </w:tcPr>
          <w:p w:rsidR="00687DE9" w:rsidRDefault="00687DE9" w:rsidP="00480544">
            <w:pPr>
              <w:snapToGrid w:val="0"/>
              <w:jc w:val="center"/>
              <w:rPr>
                <w:rFonts w:ascii="黑体" w:eastAsia="黑体" w:hAnsi="宋体" w:cs="宋体" w:hint="eastAsia"/>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二级、三级论文；</w:t>
            </w:r>
          </w:p>
          <w:p w:rsidR="00687DE9" w:rsidRDefault="00687DE9" w:rsidP="00480544">
            <w:pPr>
              <w:snapToGrid w:val="0"/>
              <w:spacing w:line="360" w:lineRule="exact"/>
              <w:jc w:val="left"/>
              <w:rPr>
                <w:rFonts w:ascii="仿宋_GB2312" w:eastAsia="仿宋_GB2312" w:hAnsi="宋体" w:cs="宋体" w:hint="eastAsia"/>
                <w:spacing w:val="-12"/>
                <w:kern w:val="0"/>
                <w:szCs w:val="21"/>
              </w:rPr>
            </w:pPr>
            <w:r>
              <w:rPr>
                <w:rFonts w:ascii="仿宋_GB2312" w:eastAsia="仿宋_GB2312" w:hAnsi="宋体" w:hint="eastAsia"/>
                <w:szCs w:val="21"/>
              </w:rPr>
              <w:t>A类出版社出版的学术著作</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150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黑体" w:eastAsia="黑体" w:hAnsi="宋体" w:cs="宋体" w:hint="eastAsia"/>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四级论文；</w:t>
            </w:r>
          </w:p>
          <w:p w:rsidR="00687DE9" w:rsidRDefault="00687DE9" w:rsidP="00480544">
            <w:pPr>
              <w:snapToGrid w:val="0"/>
              <w:spacing w:line="360" w:lineRule="exact"/>
              <w:jc w:val="left"/>
              <w:rPr>
                <w:rFonts w:ascii="仿宋_GB2312" w:eastAsia="仿宋_GB2312" w:hAnsi="宋体" w:cs="宋体" w:hint="eastAsia"/>
                <w:spacing w:val="-12"/>
                <w:kern w:val="0"/>
                <w:szCs w:val="21"/>
              </w:rPr>
            </w:pPr>
            <w:r>
              <w:rPr>
                <w:rFonts w:ascii="仿宋_GB2312" w:eastAsia="仿宋_GB2312" w:hAnsi="宋体" w:hint="eastAsia"/>
                <w:szCs w:val="21"/>
              </w:rPr>
              <w:t>B类出版社出版的学术著作</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60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黑体" w:eastAsia="黑体" w:hAnsi="宋体" w:cs="宋体" w:hint="eastAsia"/>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五级、六级论文；</w:t>
            </w:r>
          </w:p>
          <w:p w:rsidR="00687DE9" w:rsidRDefault="00687DE9" w:rsidP="00480544">
            <w:pPr>
              <w:snapToGrid w:val="0"/>
              <w:spacing w:line="360" w:lineRule="exact"/>
              <w:jc w:val="left"/>
              <w:rPr>
                <w:rFonts w:ascii="仿宋_GB2312" w:eastAsia="仿宋_GB2312" w:hAnsi="宋体" w:cs="宋体" w:hint="eastAsia"/>
                <w:spacing w:val="-12"/>
                <w:kern w:val="0"/>
                <w:szCs w:val="21"/>
              </w:rPr>
            </w:pPr>
            <w:r>
              <w:rPr>
                <w:rFonts w:ascii="仿宋_GB2312" w:eastAsia="仿宋_GB2312" w:hAnsi="宋体" w:hint="eastAsia"/>
                <w:szCs w:val="21"/>
              </w:rPr>
              <w:t>一般出版社出版的学术著作</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30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黑体" w:eastAsia="黑体" w:hAnsi="宋体" w:cs="宋体" w:hint="eastAsia"/>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jc w:val="left"/>
              <w:rPr>
                <w:rFonts w:ascii="仿宋_GB2312" w:eastAsia="仿宋_GB2312" w:hAnsi="宋体" w:cs="宋体" w:hint="eastAsia"/>
                <w:spacing w:val="-12"/>
                <w:kern w:val="0"/>
                <w:szCs w:val="21"/>
              </w:rPr>
            </w:pPr>
            <w:r>
              <w:rPr>
                <w:rFonts w:ascii="仿宋_GB2312" w:eastAsia="仿宋_GB2312" w:hAnsi="宋体" w:hint="eastAsia"/>
                <w:szCs w:val="21"/>
              </w:rPr>
              <w:t>七级、八级论文</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黑体" w:eastAsia="黑体" w:hAnsi="宋体" w:cs="宋体" w:hint="eastAsia"/>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获得PCT（美、日、德）国际发明专利</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50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获得国内发明专利</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Borders>
              <w:bottom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国家级项目</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150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Borders>
              <w:bottom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省部级项目</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80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Borders>
              <w:bottom w:val="single" w:sz="4" w:space="0" w:color="auto"/>
            </w:tcBorders>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val="restart"/>
            <w:tcBorders>
              <w:top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满足</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重大</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科技</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需求</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能力</w:t>
            </w: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横向项目到账经费每10万元</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val="restart"/>
            <w:tcBorders>
              <w:top w:val="single" w:sz="4" w:space="0" w:color="auto"/>
            </w:tcBorders>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课题鉴定（含结项）、专利、新产品证书、新品种证书、新药证书和软件著作权等的转化，转化金额每10万元</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国家级新产品、新技术、新工艺；国家标准</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500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省级</w:t>
            </w:r>
            <w:r>
              <w:rPr>
                <w:rFonts w:ascii="仿宋_GB2312" w:eastAsia="仿宋_GB2312" w:cs="宋体" w:hint="eastAsia"/>
                <w:spacing w:val="-12"/>
                <w:kern w:val="0"/>
                <w:szCs w:val="21"/>
              </w:rPr>
              <w:t>新产品、新</w:t>
            </w:r>
            <w:r>
              <w:rPr>
                <w:rFonts w:ascii="仿宋_GB2312" w:eastAsia="仿宋_GB2312" w:hAnsi="宋体" w:cs="宋体" w:hint="eastAsia"/>
                <w:spacing w:val="-12"/>
                <w:kern w:val="0"/>
                <w:szCs w:val="21"/>
              </w:rPr>
              <w:t>技术</w:t>
            </w:r>
            <w:r>
              <w:rPr>
                <w:rFonts w:ascii="仿宋_GB2312" w:eastAsia="仿宋_GB2312" w:cs="宋体" w:hint="eastAsia"/>
                <w:spacing w:val="-12"/>
                <w:kern w:val="0"/>
                <w:szCs w:val="21"/>
              </w:rPr>
              <w:t>、新工艺、</w:t>
            </w:r>
            <w:r>
              <w:rPr>
                <w:rFonts w:ascii="仿宋_GB2312" w:eastAsia="仿宋_GB2312" w:hAnsi="宋体" w:cs="宋体" w:hint="eastAsia"/>
                <w:spacing w:val="-12"/>
                <w:kern w:val="0"/>
                <w:szCs w:val="21"/>
              </w:rPr>
              <w:t>新标准；行业标准</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200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cs="宋体" w:hint="eastAsia"/>
                <w:spacing w:val="-12"/>
                <w:kern w:val="0"/>
                <w:szCs w:val="21"/>
              </w:rPr>
              <w:t>市级新产品、新</w:t>
            </w:r>
            <w:r>
              <w:rPr>
                <w:rFonts w:ascii="仿宋_GB2312" w:eastAsia="仿宋_GB2312" w:hAnsi="宋体" w:cs="宋体" w:hint="eastAsia"/>
                <w:spacing w:val="-12"/>
                <w:kern w:val="0"/>
                <w:szCs w:val="21"/>
              </w:rPr>
              <w:t>技术</w:t>
            </w:r>
            <w:r>
              <w:rPr>
                <w:rFonts w:ascii="仿宋_GB2312" w:eastAsia="仿宋_GB2312" w:cs="宋体" w:hint="eastAsia"/>
                <w:spacing w:val="-12"/>
                <w:kern w:val="0"/>
                <w:szCs w:val="21"/>
              </w:rPr>
              <w:t>、新工艺；</w:t>
            </w:r>
            <w:r>
              <w:rPr>
                <w:rFonts w:ascii="仿宋_GB2312" w:eastAsia="仿宋_GB2312" w:hAnsi="宋体" w:cs="宋体" w:hint="eastAsia"/>
                <w:spacing w:val="-12"/>
                <w:kern w:val="0"/>
                <w:szCs w:val="21"/>
              </w:rPr>
              <w:t>地方标准</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前沿</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竞争</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力</w:t>
            </w: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国家技术发明奖、科技进步奖一等奖</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500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val="restart"/>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国家技术发明奖、科技进步奖二等奖；</w:t>
            </w:r>
          </w:p>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省部级科技奖一等奖</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400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省部级科技奖二等奖</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300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省部级科技奖三等奖；</w:t>
            </w:r>
          </w:p>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厅级科研成果奖一等奖、省自然科学学术一等奖</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100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vMerge/>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r w:rsidR="00687DE9" w:rsidTr="00480544">
        <w:tc>
          <w:tcPr>
            <w:tcW w:w="492"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4"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60" w:type="pct"/>
            <w:tcMar>
              <w:left w:w="28" w:type="dxa"/>
              <w:right w:w="28" w:type="dxa"/>
            </w:tcMar>
            <w:vAlign w:val="center"/>
          </w:tcPr>
          <w:p w:rsidR="00687DE9" w:rsidRDefault="00687DE9" w:rsidP="00480544">
            <w:pPr>
              <w:snapToGrid w:val="0"/>
              <w:spacing w:line="360" w:lineRule="exact"/>
              <w:rPr>
                <w:rFonts w:ascii="仿宋_GB2312" w:eastAsia="仿宋_GB2312" w:hAnsi="宋体" w:hint="eastAsia"/>
                <w:szCs w:val="21"/>
              </w:rPr>
            </w:pPr>
            <w:r>
              <w:rPr>
                <w:rFonts w:ascii="仿宋_GB2312" w:eastAsia="仿宋_GB2312" w:hAnsi="宋体" w:hint="eastAsia"/>
                <w:szCs w:val="21"/>
              </w:rPr>
              <w:t>厅级科研成果奖二等奖、</w:t>
            </w:r>
            <w:r>
              <w:rPr>
                <w:rFonts w:ascii="仿宋_GB2312" w:eastAsia="仿宋_GB2312" w:hAnsi="宋体" w:cs="宋体" w:hint="eastAsia"/>
                <w:spacing w:val="-12"/>
                <w:kern w:val="0"/>
                <w:szCs w:val="21"/>
              </w:rPr>
              <w:t>省</w:t>
            </w:r>
            <w:r>
              <w:rPr>
                <w:rFonts w:ascii="仿宋_GB2312" w:eastAsia="仿宋_GB2312" w:hAnsi="宋体" w:hint="eastAsia"/>
                <w:szCs w:val="21"/>
              </w:rPr>
              <w:t>自然科学学术二等奖；</w:t>
            </w:r>
          </w:p>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省社科联、科协科研成果一等奖</w:t>
            </w: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hint="eastAsia"/>
                <w:spacing w:val="-12"/>
                <w:szCs w:val="21"/>
              </w:rPr>
              <w:t>60</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8" w:type="pct"/>
            <w:tcMar>
              <w:left w:w="28" w:type="dxa"/>
              <w:right w:w="28" w:type="dxa"/>
            </w:tcMar>
            <w:vAlign w:val="center"/>
          </w:tcPr>
          <w:p w:rsidR="00687DE9" w:rsidRDefault="00687DE9" w:rsidP="00480544">
            <w:pPr>
              <w:snapToGrid w:val="0"/>
              <w:jc w:val="center"/>
              <w:rPr>
                <w:rFonts w:ascii="仿宋_GB2312" w:hAnsi="宋体" w:cs="宋体"/>
                <w:spacing w:val="-12"/>
                <w:kern w:val="0"/>
                <w:szCs w:val="21"/>
              </w:rPr>
            </w:pPr>
          </w:p>
        </w:tc>
      </w:tr>
    </w:tbl>
    <w:p w:rsidR="00687DE9" w:rsidRDefault="00687DE9" w:rsidP="00687DE9">
      <w:pPr>
        <w:rPr>
          <w:szCs w:val="21"/>
        </w:rPr>
      </w:pPr>
    </w:p>
    <w:p w:rsidR="00687DE9" w:rsidRDefault="00687DE9" w:rsidP="00687DE9">
      <w:pPr>
        <w:snapToGrid w:val="0"/>
        <w:jc w:val="center"/>
        <w:rPr>
          <w:rFonts w:ascii="方正小标宋简体" w:eastAsia="方正小标宋简体" w:hAnsi="黑体" w:hint="eastAsia"/>
          <w:sz w:val="36"/>
          <w:szCs w:val="36"/>
        </w:rPr>
      </w:pPr>
      <w:r>
        <w:rPr>
          <w:szCs w:val="21"/>
        </w:rPr>
        <w:br w:type="page"/>
      </w:r>
      <w:r>
        <w:rPr>
          <w:rFonts w:ascii="方正小标宋简体" w:eastAsia="方正小标宋简体" w:hAnsi="黑体" w:hint="eastAsia"/>
          <w:sz w:val="36"/>
          <w:szCs w:val="36"/>
        </w:rPr>
        <w:lastRenderedPageBreak/>
        <w:t>平顶山学院科研机构绩效考核指标（自评）</w:t>
      </w: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（软科学、智库类）</w:t>
      </w:r>
    </w:p>
    <w:p w:rsidR="00687DE9" w:rsidRDefault="00687DE9" w:rsidP="00687DE9">
      <w:pPr>
        <w:spacing w:line="360" w:lineRule="exact"/>
        <w:rPr>
          <w:rFonts w:ascii="黑体" w:eastAsia="黑体" w:hAnsi="黑体" w:hint="eastAsia"/>
          <w:szCs w:val="21"/>
        </w:rPr>
      </w:pPr>
      <w:r>
        <w:rPr>
          <w:rFonts w:ascii="黑体" w:eastAsia="黑体" w:hAnsi="黑体" w:hint="eastAsia"/>
          <w:szCs w:val="21"/>
        </w:rPr>
        <w:t xml:space="preserve">机构负责人：            依托单位：               所属领域：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
        <w:gridCol w:w="910"/>
        <w:gridCol w:w="4163"/>
        <w:gridCol w:w="723"/>
        <w:gridCol w:w="724"/>
        <w:gridCol w:w="723"/>
        <w:gridCol w:w="717"/>
      </w:tblGrid>
      <w:tr w:rsidR="00687DE9" w:rsidTr="00480544">
        <w:tc>
          <w:tcPr>
            <w:tcW w:w="495"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一级</w:t>
            </w:r>
          </w:p>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指标</w:t>
            </w:r>
          </w:p>
        </w:tc>
        <w:tc>
          <w:tcPr>
            <w:tcW w:w="515"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二级</w:t>
            </w:r>
          </w:p>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指标</w:t>
            </w:r>
          </w:p>
        </w:tc>
        <w:tc>
          <w:tcPr>
            <w:tcW w:w="2356"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评价内容</w:t>
            </w:r>
          </w:p>
        </w:tc>
        <w:tc>
          <w:tcPr>
            <w:tcW w:w="409"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基础</w:t>
            </w:r>
          </w:p>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得分</w:t>
            </w:r>
          </w:p>
        </w:tc>
        <w:tc>
          <w:tcPr>
            <w:tcW w:w="410"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项数</w:t>
            </w:r>
          </w:p>
        </w:tc>
        <w:tc>
          <w:tcPr>
            <w:tcW w:w="409"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单项</w:t>
            </w:r>
          </w:p>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得分</w:t>
            </w:r>
          </w:p>
        </w:tc>
        <w:tc>
          <w:tcPr>
            <w:tcW w:w="406" w:type="pct"/>
            <w:tcMar>
              <w:left w:w="28" w:type="dxa"/>
              <w:right w:w="28" w:type="dxa"/>
            </w:tcMar>
            <w:vAlign w:val="center"/>
          </w:tcPr>
          <w:p w:rsidR="00687DE9" w:rsidRDefault="00687DE9" w:rsidP="00480544">
            <w:pPr>
              <w:snapToGrid w:val="0"/>
              <w:spacing w:line="360" w:lineRule="exact"/>
              <w:jc w:val="center"/>
              <w:rPr>
                <w:rFonts w:ascii="黑体" w:eastAsia="黑体" w:hAnsi="宋体" w:cs="宋体" w:hint="eastAsia"/>
                <w:spacing w:val="-12"/>
                <w:kern w:val="0"/>
                <w:szCs w:val="21"/>
              </w:rPr>
            </w:pPr>
            <w:r>
              <w:rPr>
                <w:rFonts w:ascii="黑体" w:eastAsia="黑体" w:hAnsi="宋体" w:cs="宋体" w:hint="eastAsia"/>
                <w:spacing w:val="-12"/>
                <w:kern w:val="0"/>
                <w:szCs w:val="21"/>
              </w:rPr>
              <w:t>总得分</w:t>
            </w:r>
          </w:p>
        </w:tc>
      </w:tr>
      <w:tr w:rsidR="00687DE9" w:rsidTr="00480544">
        <w:tc>
          <w:tcPr>
            <w:tcW w:w="49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代</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表</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性</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成</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果</w:t>
            </w: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领导</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批示</w:t>
            </w: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中央领导明确批示采纳的研究报告、发展规划、立法建议；</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省领导明确批示采纳的研究报告、发展规划等；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市、厅级领导明确批示采纳的研究报告、发展规划等；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县领导明确批示采纳的研究报告、发展规划；</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政府</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企业</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委托</w:t>
            </w: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受委托为国家、中央部委撰写的研究报告、发展规划、法律草案；</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受委托为国家划分的重大区域起草的研究报告、发展规划等。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400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受委托为省委、省人大、省政府、省政协以及省直部门起草的研究报告、发展规划、法律草案等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受委托为市委、市人大、市政府、市政协以及市直部门起草的研究报告、发展规划、法律草案等。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受委托为县委、县人大、县政府、县政协以及县直部门起草的研究报告、发展规划等。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受委托为规模以上企业起草的研究报告、发展规划。</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标志</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成果</w:t>
            </w: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在《人民日报》、《光明日报》、《经济日报》、《求是》、《中国教育报》发表的决策参考性理论文章，国家哲学社会科学规划办《成果要报》、教育部《高校智库专刊》、全国教育科学规划办公室《教育成果要报》、中国教育科学研究院《科研与决策》刊发研究报告等。</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200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在《河南日报》发表的决策参考性理论文章；省委政研室、省政府发展研究中心、省社科规划办、省教育厅等部门主办刊物上刊发的研究报告等；公开出版的区域经济社会发展系列研究报告。</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在《平顶山日报》发表的决策参考性理论文章。</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咨询</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研究</w:t>
            </w: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国家级专题调研项目</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省部级招标决策课题</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地厅级招标决策课题</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80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企业委托项目，为企业开展决策咨询、可行性论证、建立对口服务联系；</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2356" w:type="pct"/>
            <w:tcMar>
              <w:left w:w="28" w:type="dxa"/>
              <w:right w:w="28" w:type="dxa"/>
            </w:tcMar>
            <w:vAlign w:val="center"/>
          </w:tcPr>
          <w:p w:rsidR="00687DE9" w:rsidRDefault="00687DE9" w:rsidP="00480544">
            <w:pPr>
              <w:snapToGrid w:val="0"/>
              <w:spacing w:line="360" w:lineRule="exact"/>
              <w:rPr>
                <w:rFonts w:ascii="仿宋_GB2312" w:eastAsia="仿宋_GB2312" w:hAnsi="宋体" w:cs="宋体" w:hint="eastAsia"/>
                <w:spacing w:val="-12"/>
                <w:kern w:val="0"/>
                <w:szCs w:val="21"/>
              </w:rPr>
            </w:pPr>
            <w:r>
              <w:rPr>
                <w:rFonts w:ascii="仿宋_GB2312" w:eastAsia="仿宋_GB2312" w:hAnsi="宋体" w:hint="eastAsia"/>
                <w:szCs w:val="21"/>
              </w:rPr>
              <w:t>横向项目到账经费每10万元</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10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c>
          <w:tcPr>
            <w:tcW w:w="406"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p>
        </w:tc>
      </w:tr>
    </w:tbl>
    <w:p w:rsidR="00687DE9" w:rsidRDefault="00687DE9" w:rsidP="00687DE9">
      <w:pPr>
        <w:spacing w:line="560" w:lineRule="exact"/>
        <w:rPr>
          <w:szCs w:val="21"/>
        </w:rPr>
      </w:pPr>
    </w:p>
    <w:p w:rsidR="00687DE9" w:rsidRDefault="00687DE9" w:rsidP="00687DE9">
      <w:pPr>
        <w:spacing w:line="560" w:lineRule="exact"/>
        <w:rPr>
          <w:rFonts w:ascii="黑体" w:eastAsia="黑体" w:hAnsi="黑体" w:hint="eastAsia"/>
          <w:sz w:val="32"/>
          <w:szCs w:val="32"/>
        </w:rPr>
      </w:pPr>
    </w:p>
    <w:p w:rsidR="00687DE9" w:rsidRDefault="00687DE9" w:rsidP="00687DE9">
      <w:pPr>
        <w:snapToGrid w:val="0"/>
        <w:jc w:val="center"/>
        <w:rPr>
          <w:rFonts w:ascii="黑体" w:eastAsia="黑体" w:hAnsi="黑体"/>
          <w:sz w:val="40"/>
          <w:szCs w:val="44"/>
        </w:rPr>
        <w:sectPr w:rsidR="00687DE9">
          <w:pgSz w:w="11906" w:h="16838"/>
          <w:pgMar w:top="1985" w:right="1474" w:bottom="2098" w:left="1588" w:header="851" w:footer="992" w:gutter="0"/>
          <w:cols w:space="720"/>
          <w:docGrid w:type="lines" w:linePitch="312"/>
        </w:sectPr>
      </w:pP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lastRenderedPageBreak/>
        <w:t>平顶山学院科研机构绩效考核指标（自评）</w:t>
      </w:r>
    </w:p>
    <w:p w:rsidR="00687DE9" w:rsidRDefault="00687DE9" w:rsidP="00687DE9">
      <w:pPr>
        <w:snapToGrid w:val="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w:t>
      </w:r>
      <w:bookmarkStart w:id="2" w:name="_Hlk75945786"/>
      <w:r>
        <w:rPr>
          <w:rFonts w:ascii="方正小标宋简体" w:eastAsia="方正小标宋简体" w:hAnsi="黑体" w:hint="eastAsia"/>
          <w:sz w:val="36"/>
          <w:szCs w:val="36"/>
        </w:rPr>
        <w:t>艺术体育类</w:t>
      </w:r>
      <w:bookmarkEnd w:id="2"/>
      <w:r>
        <w:rPr>
          <w:rFonts w:ascii="方正小标宋简体" w:eastAsia="方正小标宋简体" w:hAnsi="黑体" w:hint="eastAsia"/>
          <w:sz w:val="36"/>
          <w:szCs w:val="36"/>
        </w:rPr>
        <w:t>）</w:t>
      </w:r>
    </w:p>
    <w:p w:rsidR="00687DE9" w:rsidRDefault="00687DE9" w:rsidP="00687DE9">
      <w:pPr>
        <w:spacing w:line="360" w:lineRule="exact"/>
        <w:rPr>
          <w:rFonts w:ascii="黑体" w:eastAsia="黑体" w:hAnsi="黑体" w:hint="eastAsia"/>
          <w:szCs w:val="21"/>
        </w:rPr>
      </w:pPr>
      <w:r>
        <w:rPr>
          <w:rFonts w:ascii="黑体" w:eastAsia="黑体" w:hAnsi="黑体" w:hint="eastAsia"/>
          <w:szCs w:val="21"/>
        </w:rPr>
        <w:t xml:space="preserve">机构负责人：            依托单位：               所属领域：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1"/>
        <w:gridCol w:w="854"/>
        <w:gridCol w:w="2655"/>
        <w:gridCol w:w="1253"/>
        <w:gridCol w:w="679"/>
        <w:gridCol w:w="680"/>
        <w:gridCol w:w="679"/>
        <w:gridCol w:w="675"/>
      </w:tblGrid>
      <w:tr w:rsidR="00687DE9" w:rsidTr="00480544">
        <w:tc>
          <w:tcPr>
            <w:tcW w:w="495"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一级</w:t>
            </w:r>
          </w:p>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指标</w:t>
            </w:r>
          </w:p>
        </w:tc>
        <w:tc>
          <w:tcPr>
            <w:tcW w:w="515"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二级</w:t>
            </w:r>
          </w:p>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指标</w:t>
            </w:r>
          </w:p>
        </w:tc>
        <w:tc>
          <w:tcPr>
            <w:tcW w:w="2355" w:type="pct"/>
            <w:gridSpan w:val="2"/>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评价内容</w:t>
            </w:r>
          </w:p>
        </w:tc>
        <w:tc>
          <w:tcPr>
            <w:tcW w:w="409"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基础</w:t>
            </w:r>
          </w:p>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得分</w:t>
            </w:r>
          </w:p>
        </w:tc>
        <w:tc>
          <w:tcPr>
            <w:tcW w:w="410"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项数</w:t>
            </w:r>
          </w:p>
        </w:tc>
        <w:tc>
          <w:tcPr>
            <w:tcW w:w="409"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单项</w:t>
            </w:r>
          </w:p>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得分</w:t>
            </w: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Cs w:val="21"/>
              </w:rPr>
            </w:pPr>
            <w:r>
              <w:rPr>
                <w:rFonts w:eastAsia="黑体"/>
                <w:spacing w:val="-12"/>
                <w:kern w:val="0"/>
                <w:szCs w:val="21"/>
              </w:rPr>
              <w:t>总得分</w:t>
            </w:r>
          </w:p>
        </w:tc>
      </w:tr>
      <w:tr w:rsidR="00687DE9" w:rsidTr="00480544">
        <w:tc>
          <w:tcPr>
            <w:tcW w:w="49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代</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表</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性</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成</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果</w:t>
            </w: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原始</w:t>
            </w:r>
          </w:p>
          <w:p w:rsidR="00687DE9" w:rsidRDefault="00687DE9" w:rsidP="00480544">
            <w:pPr>
              <w:snapToGrid w:val="0"/>
              <w:spacing w:line="360" w:lineRule="exact"/>
              <w:jc w:val="center"/>
              <w:rPr>
                <w:rFonts w:ascii="仿宋_GB2312" w:eastAsia="仿宋_GB2312" w:hAnsi="宋体" w:cs="宋体" w:hint="eastAsia"/>
                <w:spacing w:val="-12"/>
                <w:szCs w:val="21"/>
              </w:rPr>
            </w:pPr>
            <w:r>
              <w:rPr>
                <w:rFonts w:ascii="仿宋_GB2312" w:eastAsia="仿宋_GB2312" w:hAnsi="宋体" w:cs="宋体" w:hint="eastAsia"/>
                <w:spacing w:val="-12"/>
                <w:szCs w:val="21"/>
              </w:rPr>
              <w:t>创新</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cs="宋体" w:hint="eastAsia"/>
                <w:spacing w:val="-12"/>
                <w:szCs w:val="21"/>
              </w:rPr>
              <w:t>能力</w:t>
            </w:r>
          </w:p>
        </w:tc>
        <w:tc>
          <w:tcPr>
            <w:tcW w:w="2355" w:type="pct"/>
            <w:gridSpan w:val="2"/>
            <w:tcMar>
              <w:left w:w="28" w:type="dxa"/>
              <w:right w:w="28" w:type="dxa"/>
            </w:tcMar>
            <w:vAlign w:val="center"/>
          </w:tcPr>
          <w:p w:rsidR="00687DE9" w:rsidRDefault="00687DE9" w:rsidP="00480544">
            <w:pPr>
              <w:snapToGrid w:val="0"/>
              <w:spacing w:line="360" w:lineRule="exact"/>
              <w:jc w:val="left"/>
              <w:rPr>
                <w:rFonts w:ascii="仿宋_GB2312" w:eastAsia="仿宋_GB2312" w:hint="eastAsia"/>
                <w:spacing w:val="-12"/>
                <w:kern w:val="0"/>
                <w:szCs w:val="21"/>
              </w:rPr>
            </w:pPr>
            <w:r>
              <w:rPr>
                <w:rFonts w:ascii="仿宋_GB2312" w:eastAsia="仿宋_GB2312" w:hAnsi="宋体" w:hint="eastAsia"/>
                <w:szCs w:val="21"/>
              </w:rPr>
              <w:t>一级论文</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hint="eastAsia"/>
                <w:spacing w:val="-12"/>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二级、三级论文；</w:t>
            </w:r>
          </w:p>
          <w:p w:rsidR="00687DE9" w:rsidRDefault="00687DE9" w:rsidP="00480544">
            <w:pPr>
              <w:snapToGrid w:val="0"/>
              <w:spacing w:line="360" w:lineRule="exact"/>
              <w:jc w:val="left"/>
              <w:rPr>
                <w:rFonts w:ascii="仿宋_GB2312" w:eastAsia="仿宋_GB2312" w:hint="eastAsia"/>
                <w:spacing w:val="-12"/>
                <w:kern w:val="0"/>
                <w:szCs w:val="21"/>
              </w:rPr>
            </w:pPr>
            <w:r>
              <w:rPr>
                <w:rFonts w:ascii="仿宋_GB2312" w:eastAsia="仿宋_GB2312" w:hAnsi="宋体" w:hint="eastAsia"/>
                <w:szCs w:val="21"/>
              </w:rPr>
              <w:t>A类出版社出版的学术著作</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hint="eastAsia"/>
                <w:spacing w:val="-12"/>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四级论文；</w:t>
            </w:r>
          </w:p>
          <w:p w:rsidR="00687DE9" w:rsidRDefault="00687DE9" w:rsidP="00480544">
            <w:pPr>
              <w:snapToGrid w:val="0"/>
              <w:spacing w:line="360" w:lineRule="exact"/>
              <w:jc w:val="left"/>
              <w:rPr>
                <w:rFonts w:ascii="仿宋_GB2312" w:eastAsia="仿宋_GB2312" w:hint="eastAsia"/>
                <w:spacing w:val="-12"/>
                <w:kern w:val="0"/>
                <w:szCs w:val="21"/>
              </w:rPr>
            </w:pPr>
            <w:r>
              <w:rPr>
                <w:rFonts w:ascii="仿宋_GB2312" w:eastAsia="仿宋_GB2312" w:hAnsi="宋体" w:hint="eastAsia"/>
                <w:szCs w:val="21"/>
              </w:rPr>
              <w:t>B类出版社出版的学术著作</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hint="eastAsia"/>
                <w:spacing w:val="-12"/>
                <w:szCs w:val="21"/>
              </w:rPr>
              <w:t>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jc w:val="left"/>
              <w:rPr>
                <w:rFonts w:ascii="仿宋_GB2312" w:eastAsia="仿宋_GB2312" w:hAnsi="宋体" w:hint="eastAsia"/>
                <w:szCs w:val="21"/>
              </w:rPr>
            </w:pPr>
            <w:r>
              <w:rPr>
                <w:rFonts w:ascii="仿宋_GB2312" w:eastAsia="仿宋_GB2312" w:hAnsi="宋体" w:hint="eastAsia"/>
                <w:szCs w:val="21"/>
              </w:rPr>
              <w:t>五级、六级论文；</w:t>
            </w:r>
          </w:p>
          <w:p w:rsidR="00687DE9" w:rsidRDefault="00687DE9" w:rsidP="00480544">
            <w:pPr>
              <w:snapToGrid w:val="0"/>
              <w:spacing w:line="360" w:lineRule="exact"/>
              <w:jc w:val="left"/>
              <w:rPr>
                <w:rFonts w:ascii="仿宋_GB2312" w:eastAsia="仿宋_GB2312" w:hint="eastAsia"/>
                <w:spacing w:val="-12"/>
                <w:kern w:val="0"/>
                <w:szCs w:val="21"/>
              </w:rPr>
            </w:pPr>
            <w:r>
              <w:rPr>
                <w:rFonts w:ascii="仿宋_GB2312" w:eastAsia="仿宋_GB2312" w:hAnsi="宋体" w:hint="eastAsia"/>
                <w:szCs w:val="21"/>
              </w:rPr>
              <w:t>一般出版社出版的学术著作</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hint="eastAsia"/>
                <w:spacing w:val="-12"/>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jc w:val="left"/>
              <w:rPr>
                <w:rFonts w:ascii="仿宋_GB2312" w:eastAsia="仿宋_GB2312" w:hint="eastAsia"/>
                <w:spacing w:val="-12"/>
                <w:kern w:val="0"/>
                <w:szCs w:val="21"/>
              </w:rPr>
            </w:pPr>
            <w:r>
              <w:rPr>
                <w:rFonts w:ascii="仿宋_GB2312" w:eastAsia="仿宋_GB2312" w:hAnsi="宋体" w:hint="eastAsia"/>
                <w:szCs w:val="21"/>
              </w:rPr>
              <w:t>七级、八级论文</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hint="eastAsia"/>
                <w:spacing w:val="-12"/>
                <w:szCs w:val="21"/>
              </w:rPr>
              <w:t>10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tcMar>
              <w:left w:w="28" w:type="dxa"/>
              <w:right w:w="28" w:type="dxa"/>
            </w:tcMar>
            <w:vAlign w:val="center"/>
          </w:tcPr>
          <w:p w:rsidR="00687DE9" w:rsidRDefault="00687DE9" w:rsidP="00480544">
            <w:pPr>
              <w:snapToGrid w:val="0"/>
              <w:spacing w:line="360" w:lineRule="exact"/>
              <w:jc w:val="center"/>
              <w:rPr>
                <w:rFonts w:eastAsia="黑体"/>
                <w:spacing w:val="-12"/>
                <w:kern w:val="0"/>
                <w:sz w:val="18"/>
                <w:szCs w:val="18"/>
              </w:rPr>
            </w:pPr>
          </w:p>
        </w:tc>
      </w:tr>
      <w:tr w:rsidR="00687DE9" w:rsidTr="00480544">
        <w:trPr>
          <w:trHeight w:val="306"/>
        </w:trPr>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val="restar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满足</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科技</w:t>
            </w:r>
          </w:p>
          <w:p w:rsidR="00687DE9" w:rsidRDefault="00687DE9" w:rsidP="00480544">
            <w:pPr>
              <w:snapToGrid w:val="0"/>
              <w:spacing w:line="360" w:lineRule="exact"/>
              <w:jc w:val="center"/>
              <w:rPr>
                <w:rFonts w:ascii="仿宋_GB2312" w:eastAsia="仿宋_GB2312" w:hAnsi="宋体" w:cs="宋体" w:hint="eastAsia"/>
                <w:spacing w:val="-12"/>
                <w:kern w:val="0"/>
                <w:szCs w:val="21"/>
              </w:rPr>
            </w:pPr>
            <w:r>
              <w:rPr>
                <w:rFonts w:ascii="仿宋_GB2312" w:eastAsia="仿宋_GB2312" w:hAnsi="宋体" w:cs="宋体" w:hint="eastAsia"/>
                <w:spacing w:val="-12"/>
                <w:kern w:val="0"/>
                <w:szCs w:val="21"/>
              </w:rPr>
              <w:t>需求</w:t>
            </w:r>
          </w:p>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Ansi="宋体" w:cs="宋体" w:hint="eastAsia"/>
                <w:spacing w:val="-12"/>
                <w:kern w:val="0"/>
                <w:szCs w:val="21"/>
              </w:rPr>
              <w:t>能力</w:t>
            </w:r>
          </w:p>
        </w:tc>
        <w:tc>
          <w:tcPr>
            <w:tcW w:w="2355" w:type="pct"/>
            <w:gridSpan w:val="2"/>
            <w:tcBorders>
              <w:bottom w:val="single" w:sz="4" w:space="0" w:color="000000"/>
            </w:tcBorders>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国家级项目</w:t>
            </w:r>
          </w:p>
        </w:tc>
        <w:tc>
          <w:tcPr>
            <w:tcW w:w="409"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200</w:t>
            </w:r>
          </w:p>
        </w:tc>
        <w:tc>
          <w:tcPr>
            <w:tcW w:w="410"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省部级项目</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Ansi="宋体" w:hint="eastAsia"/>
                <w:szCs w:val="21"/>
              </w:rPr>
              <w:t>横向项目到账经费每10万元</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戏剧影视剧本或文化记录片脚本</w:t>
            </w: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编创的戏剧影视剧本或文化记录片脚本被拍摄成影视剧、文化记录片，在中央电视台播放每集</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编创的戏剧影视剧本或文化记录片脚本被拍摄成影视剧、文化记录片，在省级电视台播放每集</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以我校为第一单位拍摄并制作完成的影视剧、文化纪录片，在中央电视台播放每集</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rPr>
          <w:trHeight w:val="467"/>
        </w:trPr>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Borders>
              <w:bottom w:val="single" w:sz="4" w:space="0" w:color="000000"/>
            </w:tcBorders>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以我校为第一单位拍摄并制作完成的影视剧、文化纪录片，在省级电视台播放每集</w:t>
            </w:r>
          </w:p>
        </w:tc>
        <w:tc>
          <w:tcPr>
            <w:tcW w:w="409"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w:t>
            </w:r>
          </w:p>
        </w:tc>
        <w:tc>
          <w:tcPr>
            <w:tcW w:w="410"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Borders>
              <w:bottom w:val="single" w:sz="4" w:space="0" w:color="000000"/>
            </w:tcBorders>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体育创作</w:t>
            </w: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创作的成套广播体操、健美操、体育舞蹈、团体操，被采用在全国推广</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rPr>
          <w:trHeight w:val="477"/>
        </w:trPr>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2355" w:type="pct"/>
            <w:gridSpan w:val="2"/>
            <w:tcMar>
              <w:left w:w="28" w:type="dxa"/>
              <w:right w:w="28" w:type="dxa"/>
            </w:tcMar>
            <w:vAlign w:val="center"/>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pacing w:val="-12"/>
                <w:kern w:val="0"/>
                <w:szCs w:val="21"/>
              </w:rPr>
              <w:t>创作的成套广播体操、健美操、体育舞蹈、团体操，在不少于3个省推广</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美术（设计、书法）类</w:t>
            </w:r>
          </w:p>
        </w:tc>
        <w:tc>
          <w:tcPr>
            <w:tcW w:w="1600" w:type="pct"/>
            <w:vMerge w:val="restart"/>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国家五年一届的综合美术展览</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一等奖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二等奖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三等奖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优秀奖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80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入展、入选奖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40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val="restart"/>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国家专业届展</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一等奖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400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二等奖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三等奖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优秀奖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60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入展、入选奖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val="restart"/>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国家专业展</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一等奖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二等奖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三等奖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优秀奖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入展、入选奖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val="restart"/>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省五年一届的综合美术展览</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一等奖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二等奖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三等奖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优秀奖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入展、入选奖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val="restart"/>
            <w:tcBorders>
              <w:right w:val="single" w:sz="4" w:space="0" w:color="auto"/>
            </w:tcBorders>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省专业展和高校工委及教育厅省展</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一等奖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二等奖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80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三等奖</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pacing w:val="-12"/>
                <w:kern w:val="0"/>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pacing w:val="-12"/>
                <w:kern w:val="0"/>
                <w:szCs w:val="21"/>
              </w:rPr>
            </w:pPr>
            <w:r>
              <w:rPr>
                <w:rFonts w:ascii="仿宋_GB2312" w:eastAsia="仿宋_GB2312" w:hint="eastAsia"/>
                <w:szCs w:val="21"/>
              </w:rPr>
              <w:t xml:space="preserve">优秀奖 </w:t>
            </w: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val="restar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r>
              <w:rPr>
                <w:rFonts w:ascii="仿宋_GB2312" w:eastAsia="仿宋_GB2312" w:hint="eastAsia"/>
                <w:spacing w:val="-12"/>
                <w:kern w:val="0"/>
                <w:szCs w:val="21"/>
              </w:rPr>
              <w:t>音乐舞蹈类</w:t>
            </w:r>
          </w:p>
        </w:tc>
        <w:tc>
          <w:tcPr>
            <w:tcW w:w="1600" w:type="pct"/>
            <w:vMerge w:val="restart"/>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全国比赛作品奖（文化部、中国音乐家协会、中国舞蹈家协会、中国戏剧家协会、中央电视台、中央人民广播电台等国家级机构主办）</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一等奖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500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二等奖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三等奖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150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优秀奖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80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val="restart"/>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省部比赛作品奖（省政府、省委宣传部、省音乐家协会、省电视台、省广播电台、国家教育部等主办）</w:t>
            </w: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一等奖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120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val="restart"/>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二等奖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80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三等奖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30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r w:rsidR="00687DE9" w:rsidTr="00480544">
        <w:tc>
          <w:tcPr>
            <w:tcW w:w="49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515" w:type="pct"/>
            <w:vMerge/>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1600" w:type="pct"/>
            <w:vMerge/>
            <w:tcBorders>
              <w:right w:val="single" w:sz="4" w:space="0" w:color="auto"/>
            </w:tcBorders>
            <w:tcMar>
              <w:left w:w="28" w:type="dxa"/>
              <w:right w:w="28" w:type="dxa"/>
            </w:tcMar>
          </w:tcPr>
          <w:p w:rsidR="00687DE9" w:rsidRDefault="00687DE9" w:rsidP="00480544">
            <w:pPr>
              <w:snapToGrid w:val="0"/>
              <w:spacing w:line="360" w:lineRule="exact"/>
              <w:rPr>
                <w:rFonts w:ascii="仿宋_GB2312" w:eastAsia="仿宋_GB2312" w:hint="eastAsia"/>
                <w:szCs w:val="21"/>
              </w:rPr>
            </w:pPr>
          </w:p>
        </w:tc>
        <w:tc>
          <w:tcPr>
            <w:tcW w:w="755" w:type="pct"/>
            <w:tcBorders>
              <w:left w:val="single" w:sz="4" w:space="0" w:color="auto"/>
            </w:tcBorders>
          </w:tcPr>
          <w:p w:rsidR="00687DE9" w:rsidRDefault="00687DE9" w:rsidP="00480544">
            <w:pPr>
              <w:snapToGrid w:val="0"/>
              <w:spacing w:line="360" w:lineRule="exact"/>
              <w:rPr>
                <w:rFonts w:ascii="仿宋_GB2312" w:eastAsia="仿宋_GB2312" w:hint="eastAsia"/>
                <w:szCs w:val="21"/>
              </w:rPr>
            </w:pPr>
            <w:r>
              <w:rPr>
                <w:rFonts w:ascii="仿宋_GB2312" w:eastAsia="仿宋_GB2312" w:hint="eastAsia"/>
                <w:szCs w:val="21"/>
              </w:rPr>
              <w:t>优秀奖</w:t>
            </w:r>
          </w:p>
        </w:tc>
        <w:tc>
          <w:tcPr>
            <w:tcW w:w="409" w:type="pct"/>
            <w:tcMar>
              <w:left w:w="28" w:type="dxa"/>
              <w:right w:w="28" w:type="dxa"/>
            </w:tcMar>
          </w:tcPr>
          <w:p w:rsidR="00687DE9" w:rsidRDefault="00687DE9" w:rsidP="00480544">
            <w:pPr>
              <w:snapToGrid w:val="0"/>
              <w:spacing w:line="360" w:lineRule="exact"/>
              <w:jc w:val="center"/>
              <w:rPr>
                <w:rFonts w:ascii="仿宋_GB2312" w:eastAsia="仿宋_GB2312" w:hAnsi="宋体" w:hint="eastAsia"/>
                <w:spacing w:val="-12"/>
                <w:szCs w:val="21"/>
              </w:rPr>
            </w:pPr>
            <w:r>
              <w:rPr>
                <w:rFonts w:ascii="仿宋_GB2312" w:eastAsia="仿宋_GB2312" w:hAnsi="宋体" w:hint="eastAsia"/>
                <w:spacing w:val="-12"/>
                <w:szCs w:val="21"/>
              </w:rPr>
              <w:t>20</w:t>
            </w:r>
          </w:p>
        </w:tc>
        <w:tc>
          <w:tcPr>
            <w:tcW w:w="410"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9" w:type="pct"/>
            <w:tcMar>
              <w:left w:w="28" w:type="dxa"/>
              <w:right w:w="28" w:type="dxa"/>
            </w:tcMar>
            <w:vAlign w:val="center"/>
          </w:tcPr>
          <w:p w:rsidR="00687DE9" w:rsidRDefault="00687DE9" w:rsidP="00480544">
            <w:pPr>
              <w:snapToGrid w:val="0"/>
              <w:spacing w:line="360" w:lineRule="exact"/>
              <w:jc w:val="center"/>
              <w:rPr>
                <w:rFonts w:ascii="仿宋_GB2312" w:eastAsia="仿宋_GB2312" w:hint="eastAsia"/>
                <w:spacing w:val="-12"/>
                <w:kern w:val="0"/>
                <w:szCs w:val="21"/>
              </w:rPr>
            </w:pPr>
          </w:p>
        </w:tc>
        <w:tc>
          <w:tcPr>
            <w:tcW w:w="407" w:type="pct"/>
            <w:vMerge/>
            <w:tcMar>
              <w:left w:w="28" w:type="dxa"/>
              <w:right w:w="28" w:type="dxa"/>
            </w:tcMar>
            <w:vAlign w:val="center"/>
          </w:tcPr>
          <w:p w:rsidR="00687DE9" w:rsidRDefault="00687DE9" w:rsidP="00480544">
            <w:pPr>
              <w:snapToGrid w:val="0"/>
              <w:spacing w:line="360" w:lineRule="exact"/>
              <w:jc w:val="center"/>
              <w:rPr>
                <w:spacing w:val="-12"/>
                <w:kern w:val="0"/>
                <w:sz w:val="18"/>
                <w:szCs w:val="18"/>
              </w:rPr>
            </w:pPr>
          </w:p>
        </w:tc>
      </w:tr>
    </w:tbl>
    <w:p w:rsidR="00687DE9" w:rsidRDefault="00687DE9" w:rsidP="00687DE9">
      <w:pPr>
        <w:rPr>
          <w:rFonts w:ascii="楷体_GB2312" w:eastAsia="楷体_GB2312" w:hint="eastAsia"/>
          <w:b/>
          <w:bCs/>
          <w:szCs w:val="21"/>
        </w:rPr>
      </w:pPr>
      <w:r>
        <w:rPr>
          <w:rFonts w:ascii="楷体_GB2312" w:eastAsia="楷体_GB2312" w:hint="eastAsia"/>
          <w:b/>
          <w:bCs/>
          <w:szCs w:val="21"/>
        </w:rPr>
        <w:t>说明：</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1. 评价内容涉及的各类等级以学校相关规定为准。</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2. 主持项目以建设期内立项为准。</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3. 论文仅对第一作者且署名单位为平顶山学院的进行计算。</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4. 授权专利仅对专利权人为平顶山学院，且机构成员排第一位及授权公告日为当年进行计算。</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5. 一项成果只能在一个平台中使用。</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6. 未特别说明的，均指“平顶山学院”为第一完成单位。</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7. 证明研究报告、立法建议被采纳的具体政策、法律文本（或草案）或领导明确要求有关单位部门予以采纳、落实的批示（不包括“同意”、“转××阅示（处）”、圈阅等批示内容，</w:t>
      </w:r>
      <w:r>
        <w:rPr>
          <w:rFonts w:ascii="楷体_GB2312" w:eastAsia="楷体_GB2312" w:hint="eastAsia"/>
          <w:szCs w:val="21"/>
        </w:rPr>
        <w:lastRenderedPageBreak/>
        <w:t>下同）。</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8. 委托单位出具的委托开展调研、编制各类规划或其他政策研究的委托函、委托协议，以及完成上述研究任务且委托部门认可的验收报告或印发实施的文件或领导批示或应用部门出具的采纳证明材料。</w:t>
      </w:r>
    </w:p>
    <w:p w:rsidR="00687DE9" w:rsidRDefault="00687DE9" w:rsidP="00687DE9">
      <w:pPr>
        <w:ind w:left="210" w:hangingChars="100" w:hanging="210"/>
        <w:rPr>
          <w:rFonts w:ascii="楷体_GB2312" w:eastAsia="楷体_GB2312" w:hint="eastAsia"/>
          <w:kern w:val="0"/>
          <w:szCs w:val="21"/>
        </w:rPr>
      </w:pPr>
      <w:r>
        <w:rPr>
          <w:rFonts w:ascii="楷体_GB2312" w:eastAsia="楷体_GB2312" w:hint="eastAsia"/>
          <w:kern w:val="0"/>
          <w:szCs w:val="21"/>
        </w:rPr>
        <w:t>9. 纯学术性论文和专著不列入智库研究成果范围。</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10. 成果被多次采用，按最高分奖励，不重复积分。</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11. 基础研究类机构论文得分不超过总得分的50%，应用研究类、艺术体育类机构论文得分不超过总得分的20%，论文数量原则上不超过20篇，其中中文论文篇数不少于三分之一。</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12.各类机构可按照《平顶山学院横向科研项目经费管理办法（试行）》规定，将横向课题认定为相应等级纵向项目，但只允许认定一次。横向经费认定相应纵向项目后，其经费不再累积得分。</w:t>
      </w:r>
    </w:p>
    <w:p w:rsidR="00687DE9" w:rsidRDefault="00687DE9" w:rsidP="00687DE9">
      <w:pPr>
        <w:ind w:left="210" w:hangingChars="100" w:hanging="210"/>
        <w:rPr>
          <w:rFonts w:ascii="楷体_GB2312" w:eastAsia="楷体_GB2312" w:hint="eastAsia"/>
          <w:szCs w:val="21"/>
        </w:rPr>
      </w:pPr>
      <w:r>
        <w:rPr>
          <w:rFonts w:ascii="楷体_GB2312" w:eastAsia="楷体_GB2312" w:hint="eastAsia"/>
          <w:szCs w:val="21"/>
        </w:rPr>
        <w:t>13.各类科研机构固定成员人均得分不得低于15分，否则按不合格等级处理。</w:t>
      </w:r>
    </w:p>
    <w:p w:rsidR="00687DE9" w:rsidRDefault="00687DE9" w:rsidP="00687DE9">
      <w:pPr>
        <w:rPr>
          <w:rFonts w:hint="eastAsia"/>
          <w:szCs w:val="21"/>
        </w:rPr>
      </w:pPr>
    </w:p>
    <w:p w:rsidR="004E62AA" w:rsidRPr="00687DE9" w:rsidRDefault="004E62AA"/>
    <w:sectPr w:rsidR="004E62AA" w:rsidRPr="00687D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00" w:rsidRDefault="00E21700" w:rsidP="00687DE9">
      <w:r>
        <w:separator/>
      </w:r>
    </w:p>
  </w:endnote>
  <w:endnote w:type="continuationSeparator" w:id="0">
    <w:p w:rsidR="00E21700" w:rsidRDefault="00E21700" w:rsidP="0068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00" w:rsidRDefault="00E21700" w:rsidP="00687DE9">
      <w:r>
        <w:separator/>
      </w:r>
    </w:p>
  </w:footnote>
  <w:footnote w:type="continuationSeparator" w:id="0">
    <w:p w:rsidR="00E21700" w:rsidRDefault="00E21700" w:rsidP="0068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07"/>
    <w:rsid w:val="004E62AA"/>
    <w:rsid w:val="00687DE9"/>
    <w:rsid w:val="00B30107"/>
    <w:rsid w:val="00E2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A4DC8-C78A-416B-8327-BBE5D7A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D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7DE9"/>
    <w:rPr>
      <w:sz w:val="18"/>
      <w:szCs w:val="18"/>
    </w:rPr>
  </w:style>
  <w:style w:type="paragraph" w:styleId="a4">
    <w:name w:val="footer"/>
    <w:basedOn w:val="a"/>
    <w:link w:val="Char0"/>
    <w:uiPriority w:val="99"/>
    <w:unhideWhenUsed/>
    <w:rsid w:val="00687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7DE9"/>
    <w:rPr>
      <w:sz w:val="18"/>
      <w:szCs w:val="18"/>
    </w:rPr>
  </w:style>
  <w:style w:type="character" w:styleId="a5">
    <w:name w:val="Emphasis"/>
    <w:qFormat/>
    <w:rsid w:val="00687DE9"/>
    <w:rPr>
      <w:rFonts w:cs="Times New Roman"/>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3629</Characters>
  <Application>Microsoft Office Word</Application>
  <DocSecurity>0</DocSecurity>
  <Lines>30</Lines>
  <Paragraphs>8</Paragraphs>
  <ScaleCrop>false</ScaleCrop>
  <Company>ITSK.com</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兵兵技术</dc:creator>
  <cp:keywords/>
  <dc:description/>
  <cp:lastModifiedBy>兵兵技术</cp:lastModifiedBy>
  <cp:revision>2</cp:revision>
  <dcterms:created xsi:type="dcterms:W3CDTF">2021-12-24T07:21:00Z</dcterms:created>
  <dcterms:modified xsi:type="dcterms:W3CDTF">2021-12-24T07:21:00Z</dcterms:modified>
</cp:coreProperties>
</file>