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33" w:rsidRDefault="00F77102">
      <w:pPr>
        <w:spacing w:line="600" w:lineRule="exact"/>
        <w:jc w:val="center"/>
        <w:rPr>
          <w:rFonts w:ascii="Times New Roman" w:eastAsia="方正小标宋_GBK" w:hAnsi="Times New Roman"/>
          <w:b/>
          <w:bCs/>
          <w:sz w:val="42"/>
          <w:szCs w:val="42"/>
        </w:rPr>
      </w:pPr>
      <w:bookmarkStart w:id="0" w:name="_GoBack"/>
      <w:r>
        <w:rPr>
          <w:rFonts w:ascii="Times New Roman" w:eastAsia="方正小标宋_GBK" w:hAnsi="Times New Roman"/>
          <w:b/>
          <w:bCs/>
          <w:sz w:val="42"/>
          <w:szCs w:val="42"/>
        </w:rPr>
        <w:t>河南省大数据发展创新平台体系建设工作方案</w:t>
      </w:r>
      <w:bookmarkEnd w:id="0"/>
      <w:r>
        <w:rPr>
          <w:rFonts w:ascii="Times New Roman" w:eastAsia="方正小标宋_GBK" w:hAnsi="Times New Roman"/>
          <w:b/>
          <w:bCs/>
          <w:sz w:val="42"/>
          <w:szCs w:val="42"/>
        </w:rPr>
        <w:t xml:space="preserve"> (</w:t>
      </w:r>
      <w:r>
        <w:rPr>
          <w:rFonts w:ascii="Times New Roman" w:eastAsia="方正小标宋_GBK" w:hAnsi="Times New Roman"/>
          <w:b/>
          <w:bCs/>
          <w:sz w:val="42"/>
          <w:szCs w:val="42"/>
        </w:rPr>
        <w:t>试行</w:t>
      </w:r>
      <w:r>
        <w:rPr>
          <w:rFonts w:ascii="Times New Roman" w:eastAsia="方正小标宋_GBK" w:hAnsi="Times New Roman"/>
          <w:b/>
          <w:bCs/>
          <w:sz w:val="42"/>
          <w:szCs w:val="42"/>
        </w:rPr>
        <w:t>)</w:t>
      </w:r>
    </w:p>
    <w:p w:rsidR="000A7D33" w:rsidRDefault="000A7D33">
      <w:pPr>
        <w:spacing w:line="600" w:lineRule="exact"/>
        <w:ind w:firstLineChars="200" w:firstLine="624"/>
        <w:rPr>
          <w:rFonts w:ascii="仿宋" w:eastAsia="仿宋" w:hAnsi="仿宋" w:cs="仿宋"/>
          <w:spacing w:val="-9"/>
          <w:sz w:val="33"/>
          <w:szCs w:val="33"/>
        </w:rPr>
      </w:pP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为加速推动我省数字产业化、产业数字化进程，发挥大数据创新体系的支撑和带动作用，促进我省大数据产业发展和核心竞争能力，现制定大数据发展创新平台体系建设工作方案如下。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color w:val="222222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kern w:val="0"/>
          <w:szCs w:val="32"/>
          <w:shd w:val="clear" w:color="auto" w:fill="FFFFFF"/>
        </w:rPr>
        <w:t>一、总体要求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深入贯彻国家大数据战略，认真落实省委、省政府实施数字化转型战略安排部署，以大数据产业发展需求为导向，按照“政府引导、创新引领、分类推进、融合开放、市场运作、动态调整”的原则，促进产业链和创新链、人才链有机衔接，提高自主创新能力，搭建产业与科研之间的“桥梁”，加快科技成果转移转化，培育具有河南特色的大数据发展创新平台体系（以下简称创新平台）。到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2025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年，通过建设一批大数据发展创新实验室、大数据产业融合创新中心、大数据创新服务机构、大数据创新人才培训基地，形成布局合理、层次明晰的大数据发展创新生态，为促进我省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大数据产业高质量发展提供有力支撑。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color w:val="222222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kern w:val="0"/>
          <w:szCs w:val="32"/>
          <w:shd w:val="clear" w:color="auto" w:fill="FFFFFF"/>
        </w:rPr>
        <w:t>二、建设任务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（一）聚焦科学与工程研究，创建一批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省级大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数据发展创新实验室。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依托我省产业特色、</w:t>
      </w:r>
      <w:r>
        <w:rPr>
          <w:rFonts w:ascii="Times New Roman" w:hAnsi="Times New Roman" w:cs="宋体" w:hint="eastAsia"/>
          <w:color w:val="000000"/>
          <w:kern w:val="0"/>
          <w:szCs w:val="32"/>
          <w:shd w:val="clear" w:color="auto" w:fill="FFFFFF"/>
        </w:rPr>
        <w:t>科研基础条件和学科优势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，面向高等院校、科研院所、龙头企业，在前沿技术和战略性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lastRenderedPageBreak/>
        <w:t>新兴产业领域争创若干突破型、引领型、平台型的大数据发展创新实验室，开展大数据应用理论研究与工程技术攻关，力争在新兴前沿交叉领域和特色优势领域实现重大突破，打造具有国内先进水平的大数据重大科技创新平台，抢占产业发展和产业应用制高点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（二）推动技术创新与成果转化，建设一批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省级大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数据产业融合创新中心。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面向大数据产业创新应用需求，重点围绕工业、农业、通信、能源、金融、物流、教育、医疗、</w:t>
      </w:r>
      <w:proofErr w:type="gramStart"/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文旅等</w:t>
      </w:r>
      <w:proofErr w:type="gramEnd"/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经济社会重点领域，建设以提升技术应用创新能力、推动产业技术发展为目标的大数据产业融合创新中心。开展技术创新、产业技术开发与推广应用、系统性技术解决方案研发供给、高成长型科技企业投资孵化等工作，充分发挥产学研协同创新机制的资源集聚效应，带动大数据产业联动发展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（三）立足创新服务与支撑保障，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引育一批省级大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数据创新服务机构。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面向数据采集、传输、存储、流通、计算、分析、可视化、安全等大数据领域，引进培育一批大数据创新服务标杆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单位，重点打造一批数据资源提供商和数据服务龙头单位，发展一批</w:t>
      </w:r>
      <w:r>
        <w:rPr>
          <w:rFonts w:ascii="Times New Roman" w:hAnsi="Times New Roman" w:cs="楷体_GB2312" w:hint="eastAsia"/>
          <w:kern w:val="44"/>
          <w:szCs w:val="32"/>
        </w:rPr>
        <w:t>数据资产、数据合</w:t>
      </w:r>
      <w:proofErr w:type="gramStart"/>
      <w:r>
        <w:rPr>
          <w:rFonts w:ascii="Times New Roman" w:hAnsi="Times New Roman" w:cs="楷体_GB2312" w:hint="eastAsia"/>
          <w:kern w:val="44"/>
          <w:szCs w:val="32"/>
        </w:rPr>
        <w:t>规</w:t>
      </w:r>
      <w:proofErr w:type="gramEnd"/>
      <w:r>
        <w:rPr>
          <w:rFonts w:ascii="Times New Roman" w:hAnsi="Times New Roman" w:cs="楷体_GB2312" w:hint="eastAsia"/>
          <w:kern w:val="44"/>
          <w:szCs w:val="32"/>
        </w:rPr>
        <w:t>性、数据质量等第三方评估机构以及交易撮合、交易代理、专业咨询、数据经纪、数据交付等专业服务机构，创建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一批优势突出、辐射带动性强的大数据产业集聚区（园区）服务机构。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仿宋" w:hAnsi="仿宋" w:cs="仿宋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(</w:t>
      </w: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四</w:t>
      </w: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)</w:t>
      </w: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加强人才引进和培养，建成一批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省级大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数据创新人才培训基地。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面向大数据产业发展</w:t>
      </w:r>
      <w:r>
        <w:rPr>
          <w:rFonts w:ascii="Times New Roman" w:hAnsi="Times New Roman" w:cs="楷体_GB2312" w:hint="eastAsia"/>
          <w:kern w:val="44"/>
          <w:szCs w:val="32"/>
        </w:rPr>
        <w:t>日益增长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的专业人才需求，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lastRenderedPageBreak/>
        <w:t>支持高等院校、科研院所、龙头企业、社会机构设立大数据培训基地，开展大数据教育培训、实践锻炼等专业人才培养，建立健全多层次、多类型的大数据人才培养体系。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color w:val="222222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kern w:val="0"/>
          <w:szCs w:val="32"/>
          <w:shd w:val="clear" w:color="auto" w:fill="FFFFFF"/>
        </w:rPr>
        <w:t>三、实施步骤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自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2022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年到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2025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年，省工业和信息化厅每年组织一次申报工作。各省辖市、济源示范区、各省直管县（市）工业和信息化主管部门组织各类单位申报并初审，省属院校、科研机构、企事业单位可独立组织申报。省工业和信息化厅组织专家评审，公示无异议后公布名单并统一授牌。创新平台有效期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3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年，各级工业和信息化主管部门负责授牌后的动态管理，定期组织建设单位上报年度工作总结和工作计划，省工业和信息化厅将视情组织评估。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color w:val="222222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kern w:val="0"/>
          <w:szCs w:val="32"/>
          <w:shd w:val="clear" w:color="auto" w:fill="FFFFFF"/>
        </w:rPr>
        <w:t>四、保障措施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</w:rPr>
        <w:t>（一）强化统筹推进。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省工业和信息化厅负责统筹大数据发展创新平台体系的建设和管理，做好宣传推广、组织协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调、支撑保障、动态管理等工作。各省辖市、济源示范区、各省直管县（市）工业和信息化主管部门，有关单位建立动态跟踪机制，督促建设单位按期完成建设任务，鼓励各地根据本地实际需求，推动开展本地创新平台体系建设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hAnsi="Times New Roman" w:cs="微软雅黑"/>
          <w:color w:val="222222"/>
          <w:kern w:val="0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  <w:lang w:bidi="ar"/>
        </w:rPr>
        <w:t>（二）加大政策支持。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争取各级财政统筹专项资金支持，探索采用奖补、基金、股权、贴息等创新扶持方式，积极支持大数据发展创新平台体系建设。拓宽资金的投入渠道，引导地方政府、平台建设单位、企业、社会资本等加大对大数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lastRenderedPageBreak/>
        <w:t>据发展创新平台体系建设的投入力度。为建设单位拓宽项目申报渠道，在大数据相关试点示范项目上优先支持。</w:t>
      </w:r>
    </w:p>
    <w:p w:rsidR="000A7D33" w:rsidRDefault="00F77102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仿宋"/>
          <w:spacing w:val="-7"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kern w:val="0"/>
          <w:szCs w:val="32"/>
          <w:shd w:val="clear" w:color="auto" w:fill="FFFFFF"/>
          <w:lang w:bidi="ar"/>
        </w:rPr>
        <w:t>（三）加强动态管理。</w:t>
      </w:r>
      <w:r>
        <w:rPr>
          <w:rFonts w:ascii="仿宋" w:eastAsia="仿宋" w:hAnsi="仿宋" w:cs="仿宋"/>
          <w:spacing w:val="8"/>
          <w:kern w:val="0"/>
          <w:szCs w:val="32"/>
        </w:rPr>
        <w:t>建立建设单位年度报告</w:t>
      </w:r>
      <w:r>
        <w:rPr>
          <w:rFonts w:ascii="仿宋" w:eastAsia="仿宋" w:hAnsi="仿宋" w:cs="仿宋" w:hint="eastAsia"/>
          <w:spacing w:val="8"/>
          <w:kern w:val="0"/>
          <w:szCs w:val="32"/>
        </w:rPr>
        <w:t>、</w:t>
      </w:r>
      <w:r>
        <w:rPr>
          <w:rFonts w:ascii="仿宋" w:eastAsia="仿宋" w:hAnsi="仿宋" w:cs="仿宋"/>
          <w:spacing w:val="8"/>
          <w:kern w:val="0"/>
          <w:szCs w:val="32"/>
        </w:rPr>
        <w:t>省工业和信息化厅</w:t>
      </w:r>
      <w:r>
        <w:rPr>
          <w:rFonts w:ascii="仿宋" w:eastAsia="仿宋" w:hAnsi="仿宋" w:cs="仿宋"/>
          <w:kern w:val="0"/>
          <w:szCs w:val="32"/>
        </w:rPr>
        <w:t>动态</w:t>
      </w:r>
      <w:r>
        <w:rPr>
          <w:rFonts w:ascii="仿宋" w:eastAsia="仿宋" w:hAnsi="仿宋" w:cs="仿宋" w:hint="eastAsia"/>
          <w:kern w:val="0"/>
          <w:szCs w:val="32"/>
        </w:rPr>
        <w:t>监督</w:t>
      </w:r>
      <w:r>
        <w:rPr>
          <w:rFonts w:ascii="仿宋" w:eastAsia="仿宋" w:hAnsi="仿宋" w:cs="仿宋"/>
          <w:kern w:val="0"/>
          <w:szCs w:val="32"/>
        </w:rPr>
        <w:t>管理制度。</w:t>
      </w:r>
      <w:r>
        <w:rPr>
          <w:rFonts w:ascii="Times New Roman" w:hAnsi="Times New Roman" w:cs="微软雅黑" w:hint="eastAsia"/>
          <w:color w:val="222222"/>
          <w:kern w:val="0"/>
          <w:szCs w:val="32"/>
          <w:shd w:val="clear" w:color="auto" w:fill="FFFFFF"/>
        </w:rPr>
        <w:t>各省辖市、济源示范区、各省直管县（市）工业和信息化主管部门</w:t>
      </w:r>
      <w:r>
        <w:rPr>
          <w:rFonts w:ascii="仿宋" w:eastAsia="仿宋" w:hAnsi="仿宋" w:cs="仿宋"/>
          <w:kern w:val="0"/>
          <w:szCs w:val="32"/>
        </w:rPr>
        <w:t>、有关单位以及</w:t>
      </w:r>
      <w:r>
        <w:rPr>
          <w:rFonts w:ascii="仿宋" w:eastAsia="仿宋" w:hAnsi="仿宋" w:cs="仿宋"/>
          <w:spacing w:val="6"/>
          <w:kern w:val="0"/>
          <w:szCs w:val="32"/>
        </w:rPr>
        <w:t>建设单位及时研究解决运行中遇到的问题</w:t>
      </w:r>
      <w:r>
        <w:rPr>
          <w:rFonts w:ascii="仿宋" w:eastAsia="仿宋" w:hAnsi="仿宋" w:cs="仿宋" w:hint="eastAsia"/>
          <w:spacing w:val="6"/>
          <w:kern w:val="0"/>
          <w:szCs w:val="32"/>
        </w:rPr>
        <w:t>，</w:t>
      </w:r>
      <w:r>
        <w:rPr>
          <w:rFonts w:ascii="仿宋" w:eastAsia="仿宋" w:hAnsi="仿宋" w:cs="仿宋"/>
          <w:spacing w:val="6"/>
          <w:kern w:val="0"/>
          <w:szCs w:val="32"/>
        </w:rPr>
        <w:t>提出政策建议</w:t>
      </w:r>
      <w:r>
        <w:rPr>
          <w:rFonts w:ascii="仿宋" w:eastAsia="仿宋" w:hAnsi="仿宋" w:cs="仿宋" w:hint="eastAsia"/>
          <w:spacing w:val="6"/>
          <w:kern w:val="0"/>
          <w:szCs w:val="32"/>
        </w:rPr>
        <w:t>，</w:t>
      </w:r>
      <w:r>
        <w:rPr>
          <w:rFonts w:ascii="仿宋" w:eastAsia="仿宋" w:hAnsi="仿宋" w:cs="仿宋"/>
          <w:spacing w:val="6"/>
          <w:kern w:val="0"/>
          <w:szCs w:val="32"/>
        </w:rPr>
        <w:t>定期</w:t>
      </w:r>
      <w:r>
        <w:rPr>
          <w:rFonts w:ascii="仿宋" w:eastAsia="仿宋" w:hAnsi="仿宋" w:cs="仿宋"/>
          <w:spacing w:val="-7"/>
          <w:kern w:val="0"/>
          <w:szCs w:val="32"/>
        </w:rPr>
        <w:t>向省工业和信息化厅报告工作进展。</w:t>
      </w:r>
    </w:p>
    <w:p w:rsidR="000A7D33" w:rsidRDefault="000A7D33">
      <w:pPr>
        <w:widowControl/>
        <w:shd w:val="clear" w:color="auto" w:fill="FFFFFF"/>
        <w:spacing w:line="600" w:lineRule="exact"/>
        <w:ind w:firstLineChars="200" w:firstLine="612"/>
        <w:rPr>
          <w:rFonts w:ascii="仿宋" w:eastAsia="仿宋" w:hAnsi="仿宋" w:cs="仿宋"/>
          <w:spacing w:val="-7"/>
          <w:kern w:val="0"/>
          <w:szCs w:val="32"/>
        </w:rPr>
      </w:pPr>
    </w:p>
    <w:p w:rsidR="000A7D33" w:rsidRDefault="000A7D33"/>
    <w:sectPr w:rsidR="000A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F59D"/>
    <w:rsid w:val="000A7D33"/>
    <w:rsid w:val="00F77102"/>
    <w:rsid w:val="7B69F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E49DB2-42CD-4308-B395-0D4C227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spacing w:after="120"/>
      <w:jc w:val="both"/>
    </w:pPr>
    <w:rPr>
      <w:rFonts w:ascii="Times New Roman" w:eastAsia="仿宋_GB2312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ITSK.com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huanghe</dc:creator>
  <cp:lastModifiedBy>兵兵技术</cp:lastModifiedBy>
  <cp:revision>3</cp:revision>
  <dcterms:created xsi:type="dcterms:W3CDTF">2022-05-26T08:18:00Z</dcterms:created>
  <dcterms:modified xsi:type="dcterms:W3CDTF">2022-05-30T01:57:00Z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